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D6E" w:rsidRPr="00212F97" w:rsidRDefault="00F44D6E" w:rsidP="00F44D6E">
      <w:pPr>
        <w:keepNext/>
        <w:widowControl w:val="0"/>
        <w:autoSpaceDE w:val="0"/>
        <w:autoSpaceDN w:val="0"/>
        <w:adjustRightInd w:val="0"/>
        <w:spacing w:after="120"/>
        <w:jc w:val="right"/>
      </w:pPr>
      <w:r>
        <w:rPr>
          <w:b/>
        </w:rPr>
        <w:t>ПРИЛОЖЕНИЕ 1</w:t>
      </w:r>
      <w:r w:rsidRPr="00F44D6E">
        <w:rPr>
          <w:b/>
        </w:rPr>
        <w:t>2</w:t>
      </w:r>
      <w:r w:rsidRPr="00212F97">
        <w:rPr>
          <w:b/>
        </w:rPr>
        <w:br/>
      </w:r>
      <w:r w:rsidRPr="00212F97">
        <w:t>к концессионному соглашению [</w:t>
      </w:r>
      <w:r w:rsidRPr="00212F97">
        <w:rPr>
          <w:i/>
        </w:rPr>
        <w:t>указать реквизиты</w:t>
      </w:r>
      <w:r w:rsidRPr="00212F97">
        <w:t>]</w:t>
      </w:r>
    </w:p>
    <w:p w:rsidR="00F44D6E" w:rsidRPr="00212F97" w:rsidRDefault="00F44D6E" w:rsidP="00F44D6E">
      <w:pPr>
        <w:pStyle w:val="a6"/>
        <w:spacing w:after="120" w:line="240" w:lineRule="auto"/>
      </w:pPr>
      <w:bookmarkStart w:id="0" w:name="_Toc484822151"/>
      <w:bookmarkStart w:id="1" w:name="_Toc31802608"/>
      <w:r w:rsidRPr="00212F97">
        <w:t xml:space="preserve">Компенсация при </w:t>
      </w:r>
      <w:bookmarkEnd w:id="0"/>
      <w:r w:rsidRPr="00212F97">
        <w:t>прекращении</w:t>
      </w:r>
      <w:bookmarkEnd w:id="1"/>
    </w:p>
    <w:p w:rsidR="00F44D6E" w:rsidRPr="00212F97" w:rsidRDefault="00F44D6E" w:rsidP="00F44D6E">
      <w:pPr>
        <w:pStyle w:val="a5"/>
        <w:numPr>
          <w:ilvl w:val="0"/>
          <w:numId w:val="2"/>
        </w:numPr>
        <w:spacing w:after="120"/>
        <w:ind w:left="851" w:hanging="851"/>
        <w:rPr>
          <w:b/>
        </w:rPr>
      </w:pPr>
      <w:r w:rsidRPr="00212F97">
        <w:rPr>
          <w:b/>
        </w:rPr>
        <w:t>Общие положения</w:t>
      </w:r>
    </w:p>
    <w:p w:rsidR="00F44D6E" w:rsidRPr="00212F97" w:rsidRDefault="00F44D6E" w:rsidP="00F44D6E">
      <w:pPr>
        <w:pStyle w:val="a5"/>
        <w:numPr>
          <w:ilvl w:val="1"/>
          <w:numId w:val="2"/>
        </w:numPr>
        <w:spacing w:after="120"/>
        <w:ind w:left="851" w:hanging="851"/>
      </w:pPr>
      <w:r w:rsidRPr="00212F97">
        <w:t>В соответствии с пунктом</w:t>
      </w:r>
      <w:r w:rsidR="0098798D">
        <w:t xml:space="preserve"> 21.2</w:t>
      </w:r>
      <w:r w:rsidRPr="00212F97">
        <w:t xml:space="preserve"> Концессионного соглашения настоящее Приложение № 14 (</w:t>
      </w:r>
      <w:r w:rsidRPr="00212F97">
        <w:rPr>
          <w:b/>
          <w:i/>
        </w:rPr>
        <w:t>«Приложение»</w:t>
      </w:r>
      <w:r w:rsidRPr="00212F97">
        <w:t xml:space="preserve">) устанавливает порядок расчета и выплаты Компенсации при прекращении. </w:t>
      </w:r>
    </w:p>
    <w:p w:rsidR="00F44D6E" w:rsidRPr="00212F97" w:rsidRDefault="00F44D6E" w:rsidP="00F44D6E">
      <w:pPr>
        <w:pStyle w:val="a5"/>
        <w:numPr>
          <w:ilvl w:val="1"/>
          <w:numId w:val="2"/>
        </w:numPr>
        <w:spacing w:after="120"/>
        <w:ind w:left="851" w:hanging="851"/>
      </w:pPr>
      <w:r w:rsidRPr="00212F97">
        <w:t>Порядок, устанавливаемый настоящим Приложением, является:</w:t>
      </w:r>
    </w:p>
    <w:p w:rsidR="00F44D6E" w:rsidRPr="00212F97" w:rsidRDefault="00F44D6E" w:rsidP="00F44D6E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>порядком расчета возмещения расходов сторон при досрочном прекращении Концессионного соглашения, который предусмотрен подпунктом 16 части 2 статьи 10 ФЗ «О Концессионных соглашениях»;</w:t>
      </w:r>
    </w:p>
    <w:p w:rsidR="00F44D6E" w:rsidRPr="00212F97" w:rsidRDefault="00F44D6E" w:rsidP="00F44D6E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>порядком расчета возмещения фактически понесенных расходов Концессионера, подлежащих возмещению в соответствии с законодательством, и не возмещенных ему на Дату прекращения Концессионного соглашения, который предусмотрен подпунктом 5 части 1 статьи 42 ФЗ «О концессионных соглашениях»;</w:t>
      </w:r>
    </w:p>
    <w:p w:rsidR="00F44D6E" w:rsidRPr="00212F97" w:rsidRDefault="00F44D6E" w:rsidP="00F44D6E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>порядком возмещения расходов сторон в случае досрочного расторжения, предусмотренный пунктом 6.3 части 1 статьи 10 ФЗ «О концессионных соглашениях».</w:t>
      </w:r>
    </w:p>
    <w:p w:rsidR="00F44D6E" w:rsidRPr="00212F97" w:rsidRDefault="00F44D6E" w:rsidP="00F44D6E">
      <w:pPr>
        <w:pStyle w:val="a5"/>
        <w:numPr>
          <w:ilvl w:val="1"/>
          <w:numId w:val="2"/>
        </w:numPr>
        <w:spacing w:after="120"/>
        <w:ind w:left="851" w:hanging="851"/>
      </w:pPr>
      <w:r w:rsidRPr="00212F97">
        <w:t xml:space="preserve">Основания для выплаты Компенсации при прекращении определяются Концессионным соглашением и Прямым соглашением. </w:t>
      </w:r>
    </w:p>
    <w:p w:rsidR="00F44D6E" w:rsidRPr="00212F97" w:rsidRDefault="00F44D6E" w:rsidP="00F44D6E">
      <w:pPr>
        <w:pStyle w:val="a5"/>
        <w:numPr>
          <w:ilvl w:val="1"/>
          <w:numId w:val="2"/>
        </w:numPr>
        <w:spacing w:after="120"/>
        <w:ind w:left="851" w:hanging="851"/>
      </w:pPr>
      <w:r w:rsidRPr="00212F97">
        <w:t xml:space="preserve">Обязательства Концедента в отношении возмещения Концессионеру Дополнительных расходов и (или) Сокращения выручки в связи с длящимися Особыми обстоятельствами прекращаются </w:t>
      </w:r>
      <w:proofErr w:type="gramStart"/>
      <w:r w:rsidRPr="00212F97">
        <w:t>с Даты прекращения</w:t>
      </w:r>
      <w:proofErr w:type="gramEnd"/>
      <w:r w:rsidRPr="00212F97">
        <w:t xml:space="preserve"> концессионного соглашения. При этом начисленные и невыплаченные до Даты прекращения концессионного соглашения суммы Дополнительных расходов и (или) Сокращения выручки подлежат выплате в порядке, установленном Концессионным соглашением.</w:t>
      </w:r>
    </w:p>
    <w:p w:rsidR="00F44D6E" w:rsidRPr="00212F97" w:rsidRDefault="00F44D6E" w:rsidP="00F44D6E">
      <w:pPr>
        <w:pStyle w:val="a5"/>
        <w:numPr>
          <w:ilvl w:val="1"/>
          <w:numId w:val="2"/>
        </w:numPr>
        <w:spacing w:after="120"/>
        <w:ind w:left="851" w:hanging="851"/>
      </w:pPr>
      <w:r>
        <w:t>Концедент и Концессионер</w:t>
      </w:r>
      <w:r w:rsidRPr="00212F97">
        <w:t xml:space="preserve"> настоящим подтверждают, что ни Компенсация при прекращении, ни ее части не являются неустойкой и не подлежат уменьшению, в том числе в соответствии со статьей 333 Гражданского кодекса РФ.</w:t>
      </w:r>
    </w:p>
    <w:p w:rsidR="00F44D6E" w:rsidRPr="00212F97" w:rsidRDefault="00F44D6E" w:rsidP="00F44D6E">
      <w:pPr>
        <w:pStyle w:val="a5"/>
        <w:numPr>
          <w:ilvl w:val="0"/>
          <w:numId w:val="2"/>
        </w:numPr>
        <w:spacing w:after="120"/>
        <w:ind w:left="851" w:hanging="851"/>
        <w:rPr>
          <w:b/>
        </w:rPr>
      </w:pPr>
      <w:r w:rsidRPr="00212F97">
        <w:rPr>
          <w:b/>
        </w:rPr>
        <w:t>Размер Компенсации при прекращении</w:t>
      </w:r>
    </w:p>
    <w:p w:rsidR="00F44D6E" w:rsidRPr="00212F97" w:rsidRDefault="00F44D6E" w:rsidP="00F44D6E">
      <w:pPr>
        <w:pStyle w:val="a5"/>
        <w:numPr>
          <w:ilvl w:val="1"/>
          <w:numId w:val="2"/>
        </w:numPr>
        <w:spacing w:after="120"/>
        <w:ind w:left="851" w:hanging="851"/>
      </w:pPr>
      <w:bookmarkStart w:id="2" w:name="_Ref409723905"/>
      <w:r w:rsidRPr="00212F97">
        <w:t>Компенсация при прекращении рассчитывается по следующей формуле:</w:t>
      </w:r>
    </w:p>
    <w:p w:rsidR="00F44D6E" w:rsidRPr="00212F97" w:rsidRDefault="00F44D6E" w:rsidP="00F44D6E">
      <w:pPr>
        <w:pStyle w:val="a5"/>
        <w:tabs>
          <w:tab w:val="left" w:pos="7588"/>
        </w:tabs>
        <w:spacing w:after="120"/>
        <w:ind w:left="851"/>
        <w:jc w:val="left"/>
      </w:pPr>
      <m:oMath>
        <m:r>
          <m:rPr>
            <m:sty m:val="p"/>
          </m:rPr>
          <w:rPr>
            <w:rFonts w:ascii="Cambria Math" w:hAnsi="Cambria Math"/>
          </w:rPr>
          <m:t>КПП=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РК-СС</m:t>
            </m:r>
          </m:e>
        </m:d>
        <m:r>
          <m:rPr>
            <m:sty m:val="p"/>
          </m:rPr>
          <w:rPr>
            <w:rFonts w:ascii="Cambria Math" w:hAnsi="Cambria Math"/>
          </w:rPr>
          <m:t>+ДР+СВ</m:t>
        </m:r>
      </m:oMath>
      <w:r w:rsidRPr="00212F97">
        <w:t>,</w:t>
      </w:r>
    </w:p>
    <w:p w:rsidR="00F44D6E" w:rsidRPr="00212F97" w:rsidRDefault="00F44D6E" w:rsidP="00F44D6E">
      <w:pPr>
        <w:pStyle w:val="a5"/>
        <w:spacing w:after="120"/>
        <w:ind w:left="851"/>
      </w:pPr>
      <w:r w:rsidRPr="00212F97">
        <w:t>где:</w:t>
      </w:r>
    </w:p>
    <w:p w:rsidR="00F44D6E" w:rsidRPr="00212F97" w:rsidRDefault="00F44D6E" w:rsidP="00F44D6E">
      <w:pPr>
        <w:pStyle w:val="a5"/>
        <w:spacing w:after="120"/>
        <w:ind w:left="851"/>
        <w:rPr>
          <w:i/>
        </w:rPr>
      </w:pPr>
      <w:r w:rsidRPr="00212F97">
        <w:rPr>
          <w:i/>
        </w:rPr>
        <w:t xml:space="preserve">КПП – </w:t>
      </w:r>
      <w:r w:rsidRPr="00212F97">
        <w:t>означает Компенсацию при прекращении;</w:t>
      </w:r>
    </w:p>
    <w:p w:rsidR="00F44D6E" w:rsidRPr="00212F97" w:rsidRDefault="00F44D6E" w:rsidP="00F44D6E">
      <w:pPr>
        <w:widowControl w:val="0"/>
        <w:autoSpaceDE w:val="0"/>
        <w:autoSpaceDN w:val="0"/>
        <w:adjustRightInd w:val="0"/>
        <w:spacing w:after="120"/>
        <w:ind w:left="851"/>
        <w:jc w:val="both"/>
        <w:rPr>
          <w:i/>
          <w:sz w:val="28"/>
        </w:rPr>
      </w:pPr>
      <w:r w:rsidRPr="00212F97">
        <w:rPr>
          <w:i/>
        </w:rPr>
        <w:t>РК</w:t>
      </w:r>
      <w:r w:rsidRPr="00212F97">
        <w:t xml:space="preserve"> – означает фактически понесенные Концессионером до Даты прекращения концессионного соглашения расходы</w:t>
      </w:r>
      <w:r w:rsidRPr="00212F97">
        <w:rPr>
          <w:b/>
        </w:rPr>
        <w:t xml:space="preserve">, </w:t>
      </w:r>
      <w:r w:rsidRPr="00212F97">
        <w:t xml:space="preserve">подлежащие возмещению в соответствии с законодательством, состав </w:t>
      </w:r>
      <w:proofErr w:type="gramStart"/>
      <w:r w:rsidRPr="00212F97">
        <w:t>которых</w:t>
      </w:r>
      <w:proofErr w:type="gramEnd"/>
      <w:r w:rsidRPr="00212F97">
        <w:t xml:space="preserve"> определен в пункте 4.1 Приложения;</w:t>
      </w:r>
    </w:p>
    <w:p w:rsidR="00F44D6E" w:rsidRPr="00212F97" w:rsidRDefault="00F44D6E" w:rsidP="00F44D6E">
      <w:pPr>
        <w:widowControl w:val="0"/>
        <w:autoSpaceDE w:val="0"/>
        <w:autoSpaceDN w:val="0"/>
        <w:adjustRightInd w:val="0"/>
        <w:spacing w:after="120"/>
        <w:ind w:left="851"/>
        <w:jc w:val="both"/>
      </w:pPr>
      <w:r w:rsidRPr="00212F97">
        <w:rPr>
          <w:i/>
        </w:rPr>
        <w:t xml:space="preserve">СС – </w:t>
      </w:r>
      <w:r w:rsidRPr="00212F97">
        <w:t>означает фактически понесенные Концессионером до Даты прекращения концессионного соглашения расходы</w:t>
      </w:r>
      <w:r w:rsidRPr="00212F97">
        <w:rPr>
          <w:b/>
        </w:rPr>
        <w:t xml:space="preserve">, </w:t>
      </w:r>
      <w:r w:rsidRPr="00212F97">
        <w:t>возмещенные в соответствии с законодательством, состав которых определен в пункте 4.2 Приложения;</w:t>
      </w:r>
    </w:p>
    <w:p w:rsidR="00F44D6E" w:rsidRPr="00212F97" w:rsidRDefault="00F44D6E" w:rsidP="00F44D6E">
      <w:pPr>
        <w:pStyle w:val="a5"/>
        <w:spacing w:after="120"/>
        <w:ind w:left="851"/>
      </w:pPr>
      <w:proofErr w:type="gramStart"/>
      <w:r w:rsidRPr="00212F97">
        <w:rPr>
          <w:i/>
        </w:rPr>
        <w:t>ДР</w:t>
      </w:r>
      <w:proofErr w:type="gramEnd"/>
      <w:r w:rsidRPr="00212F97">
        <w:rPr>
          <w:i/>
        </w:rPr>
        <w:t xml:space="preserve"> –</w:t>
      </w:r>
      <w:r w:rsidRPr="00212F97">
        <w:t xml:space="preserve"> Дополнительные расходы Концессионера, возникшие до Даты прекращения концессионного соглашения, и не возмещенные Концессионеру в соответствии с </w:t>
      </w:r>
      <w:r w:rsidRPr="00212F97">
        <w:lastRenderedPageBreak/>
        <w:t>Концессионным соглашением до Даты прекращения концессионного соглашения;</w:t>
      </w:r>
    </w:p>
    <w:p w:rsidR="00F44D6E" w:rsidRPr="00212F97" w:rsidRDefault="00F44D6E" w:rsidP="00F44D6E">
      <w:pPr>
        <w:pStyle w:val="a5"/>
        <w:spacing w:after="120"/>
        <w:ind w:left="851"/>
      </w:pPr>
      <w:proofErr w:type="gramStart"/>
      <w:r w:rsidRPr="00212F97">
        <w:rPr>
          <w:i/>
        </w:rPr>
        <w:t>СВ</w:t>
      </w:r>
      <w:proofErr w:type="gramEnd"/>
      <w:r w:rsidRPr="00212F97">
        <w:rPr>
          <w:i/>
        </w:rPr>
        <w:t xml:space="preserve"> – </w:t>
      </w:r>
      <w:r w:rsidRPr="00212F97">
        <w:t>Сокращение выручки, возникшее до Даты прекращения концессионного соглашения, и не возмещенное Концессионеру в соответствии с Концессионным соглашением до Даты прекращения концессионного соглашения.</w:t>
      </w:r>
    </w:p>
    <w:bookmarkEnd w:id="2"/>
    <w:p w:rsidR="00F44D6E" w:rsidRPr="00212F97" w:rsidRDefault="00F44D6E" w:rsidP="0098798D">
      <w:pPr>
        <w:pStyle w:val="a5"/>
        <w:numPr>
          <w:ilvl w:val="0"/>
          <w:numId w:val="2"/>
        </w:numPr>
        <w:spacing w:after="120"/>
        <w:rPr>
          <w:b/>
        </w:rPr>
      </w:pPr>
      <w:r w:rsidRPr="00212F97">
        <w:rPr>
          <w:b/>
        </w:rPr>
        <w:t>Выплачивающее лицо</w:t>
      </w:r>
    </w:p>
    <w:p w:rsidR="00F44D6E" w:rsidRPr="00212F97" w:rsidRDefault="00F44D6E" w:rsidP="0098798D">
      <w:pPr>
        <w:pStyle w:val="a5"/>
        <w:numPr>
          <w:ilvl w:val="1"/>
          <w:numId w:val="2"/>
        </w:numPr>
        <w:spacing w:after="120"/>
        <w:ind w:left="851" w:hanging="851"/>
      </w:pPr>
      <w:bookmarkStart w:id="3" w:name="_Ref476595330"/>
      <w:r w:rsidRPr="00212F97">
        <w:t xml:space="preserve">В случае прекращения Концессионного соглашения по основаниям, </w:t>
      </w:r>
      <w:r w:rsidR="0098798D">
        <w:t xml:space="preserve">предусмотрены пунктами 20.3 – 20.4, 20.7, 20.9, 20.11 – 20.12 </w:t>
      </w:r>
      <w:r w:rsidRPr="00212F97">
        <w:t>Концессионного соглашения, выплату Компенсации при прекращении осуществляет Концедент.</w:t>
      </w:r>
      <w:bookmarkEnd w:id="3"/>
    </w:p>
    <w:p w:rsidR="00F44D6E" w:rsidRPr="00212F97" w:rsidRDefault="00F44D6E" w:rsidP="0098798D">
      <w:pPr>
        <w:pStyle w:val="a5"/>
        <w:numPr>
          <w:ilvl w:val="1"/>
          <w:numId w:val="2"/>
        </w:numPr>
        <w:spacing w:after="120"/>
        <w:ind w:left="851" w:hanging="851"/>
      </w:pPr>
      <w:bookmarkStart w:id="4" w:name="_Ref476595679"/>
      <w:r w:rsidRPr="00212F97">
        <w:t xml:space="preserve">В случае неисполнения или ненадлежащего исполнения Концедентом своих обязательств по выплате Компенсации при прекращении в сроки, указанные в пункте </w:t>
      </w:r>
      <w:r w:rsidR="0086202B">
        <w:fldChar w:fldCharType="begin"/>
      </w:r>
      <w:r w:rsidR="0086202B">
        <w:instrText xml:space="preserve"> REF _Ref476595950 \r \h  \* MERGEFORMAT </w:instrText>
      </w:r>
      <w:r w:rsidR="0086202B">
        <w:fldChar w:fldCharType="separate"/>
      </w:r>
      <w:r w:rsidR="002F5737">
        <w:t>5.5</w:t>
      </w:r>
      <w:r w:rsidR="0086202B">
        <w:fldChar w:fldCharType="end"/>
      </w:r>
      <w:r w:rsidRPr="00212F97">
        <w:t xml:space="preserve"> настоящего Приложения, выплату Компенсации при прекращении в оставшейся части осуществляет в сроки, предусмотренные пунктом </w:t>
      </w:r>
      <w:r w:rsidR="0086202B">
        <w:fldChar w:fldCharType="begin"/>
      </w:r>
      <w:r w:rsidR="0086202B">
        <w:instrText xml:space="preserve"> REF _Ref476596304 \r \h  \* MERGEFORMAT </w:instrText>
      </w:r>
      <w:r w:rsidR="0086202B">
        <w:fldChar w:fldCharType="separate"/>
      </w:r>
      <w:r w:rsidR="002F5737">
        <w:t>5.6</w:t>
      </w:r>
      <w:r w:rsidR="0086202B">
        <w:fldChar w:fldCharType="end"/>
      </w:r>
      <w:r w:rsidRPr="00212F97">
        <w:t xml:space="preserve"> настоящего Приложения.</w:t>
      </w:r>
      <w:bookmarkEnd w:id="4"/>
    </w:p>
    <w:p w:rsidR="00F44D6E" w:rsidRPr="00212F97" w:rsidRDefault="00F44D6E" w:rsidP="0098798D">
      <w:pPr>
        <w:pStyle w:val="a5"/>
        <w:numPr>
          <w:ilvl w:val="1"/>
          <w:numId w:val="2"/>
        </w:numPr>
        <w:spacing w:after="120"/>
        <w:ind w:left="851" w:hanging="851"/>
      </w:pPr>
      <w:r w:rsidRPr="00212F97">
        <w:t xml:space="preserve">Концессионер осуществляет согласование расчета суммы Компенсации при прекращении с тем лицом, которое в соответствии с пунктами </w:t>
      </w:r>
      <w:r w:rsidR="00E02A15">
        <w:fldChar w:fldCharType="begin"/>
      </w:r>
      <w:r w:rsidR="00E02A15">
        <w:instrText xml:space="preserve"> REF _Ref476595330 \r \h  \* MERGEFORMAT </w:instrText>
      </w:r>
      <w:r w:rsidR="00E02A15">
        <w:fldChar w:fldCharType="separate"/>
      </w:r>
      <w:r w:rsidR="002F5737">
        <w:t>3.1</w:t>
      </w:r>
      <w:r w:rsidR="00E02A15">
        <w:fldChar w:fldCharType="end"/>
      </w:r>
      <w:r w:rsidRPr="00212F97">
        <w:t xml:space="preserve"> - </w:t>
      </w:r>
      <w:r w:rsidR="00E02A15">
        <w:fldChar w:fldCharType="begin"/>
      </w:r>
      <w:r w:rsidR="00E02A15">
        <w:instrText xml:space="preserve"> REF _Ref476595679 \r \h  \* MERGEFORMAT </w:instrText>
      </w:r>
      <w:r w:rsidR="00E02A15">
        <w:fldChar w:fldCharType="separate"/>
      </w:r>
      <w:r w:rsidR="002F5737">
        <w:t>3.2</w:t>
      </w:r>
      <w:r w:rsidR="00E02A15">
        <w:fldChar w:fldCharType="end"/>
      </w:r>
      <w:r w:rsidRPr="00212F97">
        <w:t xml:space="preserve"> настоящего Приложения должно осуществлять выплату Компенсации при прекращении (</w:t>
      </w:r>
      <w:r w:rsidRPr="00212F97">
        <w:rPr>
          <w:b/>
          <w:i/>
        </w:rPr>
        <w:t>«Выплачивающее лицо»</w:t>
      </w:r>
      <w:r w:rsidRPr="00212F97">
        <w:t>).</w:t>
      </w:r>
    </w:p>
    <w:p w:rsidR="00F44D6E" w:rsidRPr="00212F97" w:rsidRDefault="00F44D6E" w:rsidP="0098798D">
      <w:pPr>
        <w:pStyle w:val="a5"/>
        <w:numPr>
          <w:ilvl w:val="0"/>
          <w:numId w:val="2"/>
        </w:numPr>
        <w:spacing w:after="120"/>
        <w:ind w:left="851" w:hanging="851"/>
        <w:rPr>
          <w:b/>
        </w:rPr>
      </w:pPr>
      <w:bookmarkStart w:id="5" w:name="_Ref521054019"/>
      <w:r w:rsidRPr="00212F97">
        <w:rPr>
          <w:b/>
        </w:rPr>
        <w:t>Состав фактически понесенных расходов Концессионера, подлежащих возмещению в соответствии с законодательством</w:t>
      </w:r>
      <w:bookmarkEnd w:id="5"/>
    </w:p>
    <w:p w:rsidR="00F44D6E" w:rsidRPr="00212F97" w:rsidRDefault="00F44D6E" w:rsidP="0098798D">
      <w:pPr>
        <w:pStyle w:val="a5"/>
        <w:numPr>
          <w:ilvl w:val="1"/>
          <w:numId w:val="2"/>
        </w:numPr>
        <w:spacing w:after="120"/>
        <w:ind w:left="851" w:hanging="851"/>
      </w:pPr>
      <w:bookmarkStart w:id="6" w:name="_Ref521049544"/>
      <w:r w:rsidRPr="00212F97">
        <w:t>В состав фактических понесенных расходов Концессионера на Реконструкцию Объекта соглашения включаются (без двойного счета, с учетом НДС, акцизов и пошлин, предусмотренных законодательством):</w:t>
      </w:r>
      <w:bookmarkEnd w:id="6"/>
    </w:p>
    <w:p w:rsidR="00F44D6E" w:rsidRPr="00212F97" w:rsidRDefault="00F44D6E" w:rsidP="0098798D">
      <w:pPr>
        <w:pStyle w:val="a3"/>
        <w:numPr>
          <w:ilvl w:val="2"/>
          <w:numId w:val="2"/>
        </w:numPr>
        <w:spacing w:after="120" w:line="240" w:lineRule="auto"/>
        <w:ind w:left="1701" w:hanging="85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 xml:space="preserve">фактически понесенные Концессионером расходы на выполнение работ по </w:t>
      </w:r>
      <w:r w:rsidRPr="00212F97">
        <w:rPr>
          <w:rFonts w:ascii="Times New Roman" w:hAnsi="Times New Roman"/>
          <w:sz w:val="24"/>
        </w:rPr>
        <w:t>Реконструкцию</w:t>
      </w:r>
      <w:r w:rsidRPr="00212F97">
        <w:rPr>
          <w:rFonts w:ascii="Times New Roman" w:hAnsi="Times New Roman"/>
        </w:rPr>
        <w:t xml:space="preserve"> О</w:t>
      </w: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>бъекта соглашения в соответствии с Инвестиционной программой;</w:t>
      </w:r>
    </w:p>
    <w:p w:rsidR="00F44D6E" w:rsidRPr="00212F97" w:rsidRDefault="00F44D6E" w:rsidP="0098798D">
      <w:pPr>
        <w:pStyle w:val="a3"/>
        <w:numPr>
          <w:ilvl w:val="2"/>
          <w:numId w:val="2"/>
        </w:numPr>
        <w:spacing w:after="120" w:line="240" w:lineRule="auto"/>
        <w:ind w:left="1701" w:hanging="85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 xml:space="preserve">фактически понесенные Концессионером расходы на закупку оборудования, используемого для </w:t>
      </w:r>
      <w:r w:rsidRPr="00212F97">
        <w:rPr>
          <w:rFonts w:ascii="Times New Roman" w:hAnsi="Times New Roman"/>
          <w:sz w:val="24"/>
        </w:rPr>
        <w:t>Реконструкции</w:t>
      </w:r>
      <w:r w:rsidRPr="00212F97">
        <w:rPr>
          <w:rFonts w:ascii="Times New Roman" w:hAnsi="Times New Roman"/>
        </w:rPr>
        <w:t xml:space="preserve"> О</w:t>
      </w: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>бъекта соглашения, при условии, что:</w:t>
      </w:r>
    </w:p>
    <w:p w:rsidR="00F44D6E" w:rsidRPr="00212F97" w:rsidRDefault="00F44D6E" w:rsidP="0098798D">
      <w:pPr>
        <w:pStyle w:val="a3"/>
        <w:numPr>
          <w:ilvl w:val="3"/>
          <w:numId w:val="2"/>
        </w:numPr>
        <w:spacing w:after="120" w:line="240" w:lineRule="auto"/>
        <w:ind w:left="2552" w:hanging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>указанное оборудование передается Концеденту в соответствии с Концессионного соглашения; и</w:t>
      </w:r>
    </w:p>
    <w:p w:rsidR="00F44D6E" w:rsidRPr="00212F97" w:rsidRDefault="00F44D6E" w:rsidP="0098798D">
      <w:pPr>
        <w:pStyle w:val="a3"/>
        <w:numPr>
          <w:ilvl w:val="3"/>
          <w:numId w:val="2"/>
        </w:numPr>
        <w:spacing w:after="120" w:line="240" w:lineRule="auto"/>
        <w:ind w:left="2552" w:hanging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 xml:space="preserve">указанные расходы не превышают соответствующую сметную стоимость оборудования в соответствии с Проектной документацией, передаваемой Концеденту в соответствии с пунктом </w:t>
      </w:r>
      <w:r w:rsidR="0098798D" w:rsidRPr="0098798D">
        <w:rPr>
          <w:rFonts w:ascii="Liberation Serif" w:hAnsi="Liberation Serif"/>
          <w:sz w:val="24"/>
          <w:szCs w:val="24"/>
        </w:rPr>
        <w:t>22.1</w:t>
      </w:r>
      <w:r w:rsidR="0098798D">
        <w:rPr>
          <w:rFonts w:ascii="Liberation Serif" w:hAnsi="Liberation Serif"/>
          <w:sz w:val="24"/>
          <w:szCs w:val="24"/>
        </w:rPr>
        <w:t xml:space="preserve">(е) </w:t>
      </w: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>Концессионного соглашения</w:t>
      </w:r>
      <w:r w:rsidRPr="00212F97">
        <w:rPr>
          <w:rFonts w:ascii="Times New Roman" w:hAnsi="Times New Roman"/>
          <w:sz w:val="24"/>
        </w:rPr>
        <w:t xml:space="preserve"> (</w:t>
      </w: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>с учетом доставки)</w:t>
      </w:r>
      <w:r w:rsidRPr="00212F97">
        <w:rPr>
          <w:rFonts w:ascii="Times New Roman" w:hAnsi="Times New Roman"/>
          <w:sz w:val="24"/>
        </w:rPr>
        <w:t>;</w:t>
      </w:r>
    </w:p>
    <w:p w:rsidR="00F44D6E" w:rsidRPr="00212F97" w:rsidRDefault="00F44D6E" w:rsidP="0098798D">
      <w:pPr>
        <w:pStyle w:val="a3"/>
        <w:numPr>
          <w:ilvl w:val="3"/>
          <w:numId w:val="2"/>
        </w:numPr>
        <w:spacing w:after="120" w:line="240" w:lineRule="auto"/>
        <w:ind w:left="2552" w:hanging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" w:name="_Ref521049709"/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>указанное оборудование имеет все необходимые сертификаты для дальнейшего использования.</w:t>
      </w:r>
      <w:bookmarkEnd w:id="7"/>
    </w:p>
    <w:p w:rsidR="00F44D6E" w:rsidRPr="00212F97" w:rsidRDefault="00F44D6E" w:rsidP="0098798D">
      <w:pPr>
        <w:pStyle w:val="a3"/>
        <w:numPr>
          <w:ilvl w:val="2"/>
          <w:numId w:val="2"/>
        </w:numPr>
        <w:spacing w:after="120" w:line="240" w:lineRule="auto"/>
        <w:ind w:left="1701" w:hanging="85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>Фактически понесенные Концессионером расходы на Проектирование и (или) Экспертизу Проектной документации, передаваемой Концеденту в соответствии с пу</w:t>
      </w:r>
      <w:r w:rsidR="0098798D">
        <w:rPr>
          <w:rFonts w:ascii="Times New Roman" w:eastAsia="Times New Roman" w:hAnsi="Times New Roman"/>
          <w:sz w:val="24"/>
          <w:szCs w:val="24"/>
          <w:lang w:eastAsia="ru-RU"/>
        </w:rPr>
        <w:t xml:space="preserve">нктом 22.1(е) </w:t>
      </w: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>Концессионного соглашения.</w:t>
      </w:r>
    </w:p>
    <w:p w:rsidR="00F44D6E" w:rsidRPr="00212F97" w:rsidRDefault="00F44D6E" w:rsidP="0098798D">
      <w:pPr>
        <w:pStyle w:val="a5"/>
        <w:numPr>
          <w:ilvl w:val="1"/>
          <w:numId w:val="2"/>
        </w:numPr>
        <w:spacing w:after="120"/>
        <w:ind w:left="851" w:hanging="851"/>
      </w:pPr>
      <w:r w:rsidRPr="00212F97">
        <w:t xml:space="preserve">Указанные в пункте </w:t>
      </w:r>
      <w:r w:rsidR="00E02A15">
        <w:fldChar w:fldCharType="begin"/>
      </w:r>
      <w:r w:rsidR="00E02A15">
        <w:instrText xml:space="preserve"> REF _Ref521049544 \r \h  \* MERGEFORMAT </w:instrText>
      </w:r>
      <w:r w:rsidR="00E02A15">
        <w:fldChar w:fldCharType="separate"/>
      </w:r>
      <w:r w:rsidR="002F5737">
        <w:t>4.1</w:t>
      </w:r>
      <w:r w:rsidR="00E02A15">
        <w:fldChar w:fldCharType="end"/>
      </w:r>
      <w:r w:rsidRPr="00212F97">
        <w:t xml:space="preserve"> Приложения фактические расходы могут подтверждаться следующими документами:</w:t>
      </w:r>
    </w:p>
    <w:p w:rsidR="00F44D6E" w:rsidRPr="00212F97" w:rsidRDefault="00F44D6E" w:rsidP="0098798D">
      <w:pPr>
        <w:pStyle w:val="a3"/>
        <w:numPr>
          <w:ilvl w:val="2"/>
          <w:numId w:val="2"/>
        </w:numPr>
        <w:spacing w:after="120" w:line="240" w:lineRule="auto"/>
        <w:ind w:left="1701" w:hanging="85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 xml:space="preserve">Актами и иными отчетно-финансовыми документами (оригиналами или заверенными уполномоченными лицом Концессионера копиями), предусмотренными Концессионным соглашением, соответствующими договорами и подтверждающими надлежащее исполнение контрагентом соответствующих работ, поставку товаров и (или) оказание услуг, либо </w:t>
      </w: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получение контрагентом по договору (исполнителем и (или) поставщиком) предусмотренного аванса / предоплаты;</w:t>
      </w:r>
    </w:p>
    <w:p w:rsidR="00F44D6E" w:rsidRPr="00212F97" w:rsidRDefault="00F44D6E" w:rsidP="0098798D">
      <w:pPr>
        <w:pStyle w:val="a3"/>
        <w:numPr>
          <w:ilvl w:val="2"/>
          <w:numId w:val="2"/>
        </w:numPr>
        <w:spacing w:after="120" w:line="240" w:lineRule="auto"/>
        <w:ind w:left="1701" w:hanging="85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 xml:space="preserve">Сертификатами (оригиналами или заверенными уполномоченными лицом Концессионера копиями) на оборудование, указанными в пункте </w:t>
      </w:r>
      <w:r w:rsidR="00E02A15">
        <w:fldChar w:fldCharType="begin"/>
      </w:r>
      <w:r w:rsidR="00E02A15">
        <w:instrText xml:space="preserve"> REF _Ref521049709 \r \h  \* MERGEFORMAT </w:instrText>
      </w:r>
      <w:r w:rsidR="00E02A15">
        <w:fldChar w:fldCharType="separate"/>
      </w:r>
      <w:r w:rsidR="002F5737" w:rsidRPr="002F5737">
        <w:rPr>
          <w:rFonts w:ascii="Times New Roman" w:eastAsia="Times New Roman" w:hAnsi="Times New Roman"/>
          <w:sz w:val="24"/>
          <w:szCs w:val="24"/>
          <w:lang w:eastAsia="ru-RU"/>
        </w:rPr>
        <w:t>4.1.2.3</w:t>
      </w:r>
      <w:r w:rsidR="00E02A15">
        <w:fldChar w:fldCharType="end"/>
      </w: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Приложения;</w:t>
      </w:r>
    </w:p>
    <w:p w:rsidR="00F44D6E" w:rsidRPr="00212F97" w:rsidRDefault="00F44D6E" w:rsidP="0098798D">
      <w:pPr>
        <w:pStyle w:val="a3"/>
        <w:numPr>
          <w:ilvl w:val="2"/>
          <w:numId w:val="2"/>
        </w:numPr>
        <w:spacing w:after="120" w:line="240" w:lineRule="auto"/>
        <w:ind w:left="1701" w:hanging="85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>Выписками по расчетным счетам Концессионера, подтверждающими оплату Концессионером соответствующих сумм расходов (в том числе – в отношении уплаты расходов на обслуживание задолженности, как это предусмотрено пунктом 2.1 Приложения);</w:t>
      </w:r>
    </w:p>
    <w:p w:rsidR="00F44D6E" w:rsidRPr="00212F97" w:rsidRDefault="00F44D6E" w:rsidP="0098798D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>Актами о выполнении мероприятий по Реконструкции Объекта соглашения.</w:t>
      </w:r>
    </w:p>
    <w:p w:rsidR="00F44D6E" w:rsidRPr="00212F97" w:rsidRDefault="00F44D6E" w:rsidP="0098798D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>Итоговым актом о выполнении мероприятий по Реконструкции Объекта соглашения.</w:t>
      </w:r>
    </w:p>
    <w:p w:rsidR="00F44D6E" w:rsidRPr="00212F97" w:rsidRDefault="00F44D6E" w:rsidP="0098798D">
      <w:pPr>
        <w:pStyle w:val="a5"/>
        <w:numPr>
          <w:ilvl w:val="1"/>
          <w:numId w:val="2"/>
        </w:numPr>
        <w:spacing w:after="120"/>
        <w:ind w:left="851" w:hanging="851"/>
      </w:pPr>
      <w:r w:rsidRPr="00212F97">
        <w:t>В состав возмещенных Концессионеру на Дату прекращения концессионного соглашения расходов на Реконструкцию Объекта соглашения, указанных в пункте 2.1 Приложения, включаются:</w:t>
      </w:r>
    </w:p>
    <w:p w:rsidR="00F44D6E" w:rsidRPr="00212F97" w:rsidRDefault="00F44D6E" w:rsidP="0098798D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 xml:space="preserve">суммы амортизации в отношении реконструированного имущества в составе Объекта соглашения, учтенной при утверждении Тарифа за </w:t>
      </w:r>
      <w:proofErr w:type="gramStart"/>
      <w:r w:rsidRPr="00212F97">
        <w:t>каждый полный год</w:t>
      </w:r>
      <w:proofErr w:type="gramEnd"/>
      <w:r w:rsidRPr="00212F97">
        <w:t>, предшествующей Дате прекращения концессионного соглашения;</w:t>
      </w:r>
    </w:p>
    <w:p w:rsidR="00F44D6E" w:rsidRPr="00212F97" w:rsidRDefault="00F44D6E" w:rsidP="0098798D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>суммы амортизации в отношении реконструированного имущества в составе Объекта соглашения, полученная Концессионером, которая:</w:t>
      </w:r>
    </w:p>
    <w:p w:rsidR="00F44D6E" w:rsidRPr="00212F97" w:rsidRDefault="00F44D6E" w:rsidP="00F44D6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268" w:hanging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>была учтена при утверждении Тарифа в году, в котором наступила Дата прекращения концессионного соглашения; и</w:t>
      </w:r>
    </w:p>
    <w:p w:rsidR="00F44D6E" w:rsidRPr="00212F97" w:rsidRDefault="00F44D6E" w:rsidP="00F44D6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268" w:hanging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>определяется на основании данных о фактическом объеме поставленных Концессионером тепловой энергии, теплоносителя, горячей воды с использованием открытой системы водоснабжения;</w:t>
      </w:r>
    </w:p>
    <w:p w:rsidR="00F44D6E" w:rsidRPr="00212F97" w:rsidRDefault="00F44D6E" w:rsidP="0098798D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 xml:space="preserve">суммы средств на возврат займов и кредитов, привлекаемых на реализацию мероприятий Инвестиционной программы (сумма Основного долга по Акционерным займам и сумма Основного долга), учтенные в составе нормативной прибыли при утверждении Тарифа за </w:t>
      </w:r>
      <w:proofErr w:type="gramStart"/>
      <w:r w:rsidRPr="00212F97">
        <w:t>каждый полный год</w:t>
      </w:r>
      <w:proofErr w:type="gramEnd"/>
      <w:r w:rsidRPr="00212F97">
        <w:t>, предшествующей Дате прекращения концессионного соглашения;</w:t>
      </w:r>
    </w:p>
    <w:p w:rsidR="00F44D6E" w:rsidRPr="00212F97" w:rsidRDefault="00F44D6E" w:rsidP="0098798D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>суммы средств на возврат займов и кредитов, привлекаемых на реализацию мероприятий Инвестиционной программы (сумма Основного долга по Акционерным займам и сумма Основного долга), которые:</w:t>
      </w:r>
    </w:p>
    <w:p w:rsidR="00F44D6E" w:rsidRPr="00212F97" w:rsidRDefault="00F44D6E" w:rsidP="00F44D6E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2268" w:hanging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>были учтены в составе нормативной прибыли при утверждении Тарифа в году, в котором наступила Дата прекращения концессионного соглашения, и</w:t>
      </w:r>
    </w:p>
    <w:p w:rsidR="00F44D6E" w:rsidRPr="00212F97" w:rsidRDefault="00F44D6E" w:rsidP="00F44D6E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2268" w:hanging="567"/>
        <w:contextualSpacing w:val="0"/>
        <w:jc w:val="both"/>
      </w:pPr>
      <w:r w:rsidRPr="00212F97">
        <w:rPr>
          <w:rFonts w:ascii="Times New Roman" w:eastAsia="Times New Roman" w:hAnsi="Times New Roman"/>
          <w:sz w:val="24"/>
          <w:szCs w:val="24"/>
          <w:lang w:eastAsia="ru-RU"/>
        </w:rPr>
        <w:t>определяется на основании данных о фактическом объеме оказанных Концессионером услуг по водоснабжению и (или) водоотведению.</w:t>
      </w:r>
    </w:p>
    <w:p w:rsidR="00F44D6E" w:rsidRPr="00212F97" w:rsidRDefault="00F44D6E" w:rsidP="0098798D">
      <w:pPr>
        <w:pStyle w:val="a5"/>
        <w:keepNext/>
        <w:widowControl/>
        <w:numPr>
          <w:ilvl w:val="0"/>
          <w:numId w:val="2"/>
        </w:numPr>
        <w:spacing w:after="120"/>
        <w:ind w:left="851" w:hanging="851"/>
        <w:rPr>
          <w:b/>
        </w:rPr>
      </w:pPr>
      <w:r w:rsidRPr="00212F97">
        <w:rPr>
          <w:b/>
        </w:rPr>
        <w:lastRenderedPageBreak/>
        <w:t>Процедура выплаты суммы Компенсации при прекращении</w:t>
      </w:r>
    </w:p>
    <w:p w:rsidR="00F44D6E" w:rsidRPr="00212F97" w:rsidRDefault="00F44D6E" w:rsidP="0098798D">
      <w:pPr>
        <w:pStyle w:val="a5"/>
        <w:keepNext/>
        <w:widowControl/>
        <w:numPr>
          <w:ilvl w:val="1"/>
          <w:numId w:val="2"/>
        </w:numPr>
        <w:spacing w:after="120"/>
        <w:ind w:left="851" w:hanging="851"/>
      </w:pPr>
      <w:bookmarkStart w:id="8" w:name="_Ref409728691"/>
      <w:r w:rsidRPr="00212F97">
        <w:t>Концессионер обязан предоставить Концеденту расчет соответствующей суммы Компенсации при прекращении с приложением документов, подтверждающих этот расчет:</w:t>
      </w:r>
      <w:bookmarkEnd w:id="8"/>
    </w:p>
    <w:p w:rsidR="00F44D6E" w:rsidRPr="00212F97" w:rsidRDefault="00F44D6E" w:rsidP="0098798D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>одновременно с Заявлением о прекращении, в котором Концессионер выражает намерение расторгнуть Концессионное соглашение; или</w:t>
      </w:r>
    </w:p>
    <w:p w:rsidR="00F44D6E" w:rsidRPr="00212F97" w:rsidRDefault="00F44D6E" w:rsidP="0098798D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>в течение 15 рабочих дней с момента получения Заявления о прекращении от Концедента.</w:t>
      </w:r>
    </w:p>
    <w:p w:rsidR="00F44D6E" w:rsidRPr="00212F97" w:rsidRDefault="00F44D6E" w:rsidP="0098798D">
      <w:pPr>
        <w:pStyle w:val="a5"/>
        <w:numPr>
          <w:ilvl w:val="1"/>
          <w:numId w:val="2"/>
        </w:numPr>
        <w:spacing w:after="120"/>
        <w:ind w:left="851" w:hanging="851"/>
      </w:pPr>
      <w:bookmarkStart w:id="9" w:name="_Ref409728790"/>
      <w:r w:rsidRPr="00212F97">
        <w:t xml:space="preserve">Выплачивающее лицо обязано в течение 15 рабочих дней со дня получения сведений, предоставленных согласно пункту </w:t>
      </w:r>
      <w:r w:rsidR="00E02A15">
        <w:fldChar w:fldCharType="begin"/>
      </w:r>
      <w:r w:rsidR="00E02A15">
        <w:instrText xml:space="preserve"> REF _Ref409728691 \r \h  \* MERGEFORMAT </w:instrText>
      </w:r>
      <w:r w:rsidR="00E02A15">
        <w:fldChar w:fldCharType="separate"/>
      </w:r>
      <w:r w:rsidR="002F5737">
        <w:t>5.1</w:t>
      </w:r>
      <w:r w:rsidR="00E02A15">
        <w:fldChar w:fldCharType="end"/>
      </w:r>
      <w:r w:rsidRPr="00212F97">
        <w:t xml:space="preserve"> настоящего Приложения, утвердить предоставленный Концессионером расчет суммы Компенсации при прекращении в своей части или представить обоснованные возражения относительно суммы </w:t>
      </w:r>
      <w:bookmarkEnd w:id="9"/>
      <w:r w:rsidRPr="00212F97">
        <w:t>Компенсации при прекращении.</w:t>
      </w:r>
    </w:p>
    <w:p w:rsidR="00F44D6E" w:rsidRPr="00212F97" w:rsidRDefault="00F44D6E" w:rsidP="0098798D">
      <w:pPr>
        <w:pStyle w:val="a5"/>
        <w:numPr>
          <w:ilvl w:val="1"/>
          <w:numId w:val="2"/>
        </w:numPr>
        <w:spacing w:after="120"/>
        <w:ind w:left="851" w:hanging="851"/>
      </w:pPr>
      <w:proofErr w:type="gramStart"/>
      <w:r w:rsidRPr="00212F97">
        <w:t>С целью проверки расчета суммы Компенсации при прекращении, предоставленного Концессионером, а также в случае непредставления Концессионером такого расчета и (или) необходимых документов, обосновывающих такой расчет, Выплачивающее лицо вправе осуществлять любые проверки, требовать предоставления Концессионером необходимых ему документов и сведений, проводить инвентаризацию имущества Концессионера, входящего в состав Объекта соглашения, а также имущества, находящегося на Земельных участках.</w:t>
      </w:r>
      <w:proofErr w:type="gramEnd"/>
    </w:p>
    <w:p w:rsidR="00F44D6E" w:rsidRPr="00212F97" w:rsidRDefault="00F44D6E" w:rsidP="0098798D">
      <w:pPr>
        <w:pStyle w:val="a5"/>
        <w:numPr>
          <w:ilvl w:val="1"/>
          <w:numId w:val="2"/>
        </w:numPr>
        <w:spacing w:after="120"/>
        <w:ind w:left="851" w:hanging="851"/>
      </w:pPr>
      <w:bookmarkStart w:id="10" w:name="_Ref476524922"/>
      <w:r w:rsidRPr="00212F97">
        <w:t xml:space="preserve">Если Выплачивающее лицо не утверждает расчет суммы Компенсации при прекращении или представляет возражения относительно суммы Компенсации при прекращении в соответствии с подпунктом </w:t>
      </w:r>
      <w:r w:rsidR="00E02A15">
        <w:fldChar w:fldCharType="begin"/>
      </w:r>
      <w:r w:rsidR="00E02A15">
        <w:instrText xml:space="preserve"> REF _Ref409728790 \r \h  \* MERGEFORMAT </w:instrText>
      </w:r>
      <w:r w:rsidR="00E02A15">
        <w:fldChar w:fldCharType="separate"/>
      </w:r>
      <w:r w:rsidR="002F5737">
        <w:t>5.2</w:t>
      </w:r>
      <w:r w:rsidR="00E02A15">
        <w:fldChar w:fldCharType="end"/>
      </w:r>
      <w:r w:rsidRPr="00212F97">
        <w:t xml:space="preserve"> настоящего Приложения, спор о размере суммы Компенсации при прекращении подлежит разрешению в соответствии с Порядком разрешения споров (статья</w:t>
      </w:r>
      <w:r w:rsidR="0098798D">
        <w:t xml:space="preserve"> 27 </w:t>
      </w:r>
      <w:r w:rsidRPr="00212F97">
        <w:t>Концессионного соглашения).</w:t>
      </w:r>
      <w:bookmarkEnd w:id="10"/>
    </w:p>
    <w:p w:rsidR="00F44D6E" w:rsidRPr="00212F97" w:rsidRDefault="00F44D6E" w:rsidP="0098798D">
      <w:pPr>
        <w:pStyle w:val="a5"/>
        <w:numPr>
          <w:ilvl w:val="1"/>
          <w:numId w:val="2"/>
        </w:numPr>
        <w:spacing w:after="120"/>
        <w:ind w:left="851" w:hanging="851"/>
      </w:pPr>
      <w:bookmarkStart w:id="11" w:name="_Ref476595950"/>
      <w:r w:rsidRPr="00212F97">
        <w:t>Сумма Компенсации при прекращении подлежит выплате Выплачивающим лицом в течение 6 месяцев с момента наступления наиболее ранней из следующих дат:</w:t>
      </w:r>
      <w:bookmarkEnd w:id="11"/>
    </w:p>
    <w:p w:rsidR="00F44D6E" w:rsidRPr="00212F97" w:rsidRDefault="00F44D6E" w:rsidP="0098798D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>дата вступления в законную силу решения Арбитражного суда о досрочном расторжении Концессионного соглашения;</w:t>
      </w:r>
    </w:p>
    <w:p w:rsidR="00F44D6E" w:rsidRPr="00212F97" w:rsidRDefault="00F44D6E" w:rsidP="0098798D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>дата подписания Сторонами соглашения о прекращении Концессионного соглашения;</w:t>
      </w:r>
    </w:p>
    <w:p w:rsidR="00F44D6E" w:rsidRPr="00212F97" w:rsidRDefault="00F44D6E" w:rsidP="0098798D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>дата согласования Выплачивающим лицом суммы Компенсации при прекращении или даты ее утверждения в Порядке разрешения споров.</w:t>
      </w:r>
    </w:p>
    <w:p w:rsidR="00F44D6E" w:rsidRPr="00212F97" w:rsidRDefault="00F44D6E" w:rsidP="0098798D">
      <w:pPr>
        <w:pStyle w:val="a5"/>
        <w:numPr>
          <w:ilvl w:val="1"/>
          <w:numId w:val="2"/>
        </w:numPr>
        <w:spacing w:after="120"/>
        <w:ind w:left="851" w:hanging="851"/>
      </w:pPr>
      <w:bookmarkStart w:id="12" w:name="_Ref476596304"/>
      <w:r w:rsidRPr="00212F97">
        <w:t xml:space="preserve">В случае, предусмотренном пунктом </w:t>
      </w:r>
      <w:r w:rsidR="00E02A15">
        <w:fldChar w:fldCharType="begin"/>
      </w:r>
      <w:r w:rsidR="00E02A15">
        <w:instrText xml:space="preserve"> REF _Ref476595679 \r \h  \* MERGEFORMAT </w:instrText>
      </w:r>
      <w:r w:rsidR="00E02A15">
        <w:fldChar w:fldCharType="separate"/>
      </w:r>
      <w:r w:rsidR="002F5737">
        <w:t>3.2</w:t>
      </w:r>
      <w:r w:rsidR="00E02A15">
        <w:fldChar w:fldCharType="end"/>
      </w:r>
      <w:r w:rsidRPr="00212F97">
        <w:t xml:space="preserve"> настоящего Приложения, Компенсация при прекращении должна быть выплачена в течение 6 (шести) месяцев </w:t>
      </w:r>
      <w:proofErr w:type="gramStart"/>
      <w:r w:rsidRPr="00212F97">
        <w:t>с даты истечения</w:t>
      </w:r>
      <w:proofErr w:type="gramEnd"/>
      <w:r w:rsidRPr="00212F97">
        <w:t xml:space="preserve"> периода, предусмотренного пунктом </w:t>
      </w:r>
      <w:r w:rsidR="00E02A15">
        <w:fldChar w:fldCharType="begin"/>
      </w:r>
      <w:r w:rsidR="00E02A15">
        <w:instrText xml:space="preserve"> REF _Ref476595950 \r \h  \* MERGEFORMAT </w:instrText>
      </w:r>
      <w:r w:rsidR="00E02A15">
        <w:fldChar w:fldCharType="separate"/>
      </w:r>
      <w:r w:rsidR="002F5737">
        <w:t>5.5</w:t>
      </w:r>
      <w:r w:rsidR="00E02A15">
        <w:fldChar w:fldCharType="end"/>
      </w:r>
      <w:r w:rsidRPr="00212F97">
        <w:t xml:space="preserve"> настоящего Приложения</w:t>
      </w:r>
      <w:bookmarkEnd w:id="12"/>
      <w:r w:rsidRPr="00212F97">
        <w:t xml:space="preserve">. </w:t>
      </w:r>
    </w:p>
    <w:p w:rsidR="00F44D6E" w:rsidRPr="00212F97" w:rsidRDefault="00F44D6E" w:rsidP="0098798D">
      <w:pPr>
        <w:pStyle w:val="a5"/>
        <w:numPr>
          <w:ilvl w:val="1"/>
          <w:numId w:val="2"/>
        </w:numPr>
        <w:spacing w:after="120"/>
        <w:ind w:left="851" w:hanging="851"/>
      </w:pPr>
      <w:r w:rsidRPr="00212F97">
        <w:t>Выплата Компенсации при прекращении осуществляется с учетом условий Прямого соглашения. Если условиями Прямого соглашения предусмотрен иной порядок расчета и выплаты Компенсации при прекращении по сравнению с условиями Концессионного соглашения и настоящего Приложения, применяются условия Прямого соглашения.</w:t>
      </w:r>
    </w:p>
    <w:p w:rsidR="00F44D6E" w:rsidRPr="00212F97" w:rsidRDefault="00F44D6E" w:rsidP="0098798D">
      <w:pPr>
        <w:pStyle w:val="a5"/>
        <w:numPr>
          <w:ilvl w:val="1"/>
          <w:numId w:val="2"/>
        </w:numPr>
        <w:spacing w:after="120"/>
        <w:ind w:left="851" w:hanging="851"/>
      </w:pPr>
      <w:r w:rsidRPr="00212F97">
        <w:t xml:space="preserve">Расчет суммы Компенсации при прекращении, произведенный в соответствии с пунктом </w:t>
      </w:r>
      <w:r w:rsidR="00E02A15">
        <w:fldChar w:fldCharType="begin"/>
      </w:r>
      <w:r w:rsidR="00E02A15">
        <w:instrText xml:space="preserve"> REF _Ref409728691 \r \h  \* MERGEFORMAT </w:instrText>
      </w:r>
      <w:r w:rsidR="00E02A15">
        <w:fldChar w:fldCharType="separate"/>
      </w:r>
      <w:r w:rsidR="002F5737">
        <w:t>5.1</w:t>
      </w:r>
      <w:r w:rsidR="00E02A15">
        <w:fldChar w:fldCharType="end"/>
      </w:r>
      <w:r w:rsidRPr="00212F97">
        <w:t xml:space="preserve"> настоящего Приложения, подлежит корректировке на Дату прекращения Концессионного соглашения на основе фактических данных. </w:t>
      </w:r>
    </w:p>
    <w:p w:rsidR="00F44D6E" w:rsidRPr="00212F97" w:rsidRDefault="00F44D6E" w:rsidP="0098798D">
      <w:pPr>
        <w:pStyle w:val="a5"/>
        <w:numPr>
          <w:ilvl w:val="1"/>
          <w:numId w:val="2"/>
        </w:numPr>
        <w:spacing w:after="120"/>
        <w:ind w:left="851" w:hanging="851"/>
      </w:pPr>
      <w:r w:rsidRPr="00212F97">
        <w:lastRenderedPageBreak/>
        <w:t>Финансирующая организация вправе участвовать в согласовании и определении суммы Компенсации при прекращении, в том числе в порядке, установленном в Прямом соглашении.</w:t>
      </w:r>
    </w:p>
    <w:p w:rsidR="00F44D6E" w:rsidRPr="00212F97" w:rsidRDefault="00F44D6E" w:rsidP="0098798D">
      <w:pPr>
        <w:pStyle w:val="a5"/>
        <w:numPr>
          <w:ilvl w:val="1"/>
          <w:numId w:val="2"/>
        </w:numPr>
        <w:spacing w:after="120"/>
        <w:ind w:left="851" w:hanging="851"/>
      </w:pPr>
      <w:bookmarkStart w:id="13" w:name="_Ref479794313"/>
      <w:bookmarkStart w:id="14" w:name="_Ref409728988"/>
      <w:proofErr w:type="gramStart"/>
      <w:r w:rsidRPr="00212F97">
        <w:t>С Даты прекращения</w:t>
      </w:r>
      <w:proofErr w:type="gramEnd"/>
      <w:r w:rsidRPr="00212F97">
        <w:t xml:space="preserve"> концессионного соглашения и до момента уплаты суммы Компенсации при прекращении на невыплаченную часть суммы Компенсации при прекращении, подлежат начислению и уплате проценты, рассчитываемые в следующем порядке:</w:t>
      </w:r>
      <w:bookmarkEnd w:id="13"/>
    </w:p>
    <w:p w:rsidR="00F44D6E" w:rsidRPr="00212F97" w:rsidRDefault="00F44D6E" w:rsidP="0098798D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 xml:space="preserve">в течение периода, предусмотренного пунктом </w:t>
      </w:r>
      <w:r w:rsidR="00E02A15">
        <w:fldChar w:fldCharType="begin"/>
      </w:r>
      <w:r w:rsidR="00E02A15">
        <w:instrText xml:space="preserve"> REF _Ref476595950 \r \h  \* MERGEFORMAT </w:instrText>
      </w:r>
      <w:r w:rsidR="00E02A15">
        <w:fldChar w:fldCharType="separate"/>
      </w:r>
      <w:r w:rsidR="002F5737">
        <w:t>5.5</w:t>
      </w:r>
      <w:r w:rsidR="00E02A15">
        <w:fldChar w:fldCharType="end"/>
      </w:r>
      <w:r w:rsidRPr="00212F97">
        <w:t xml:space="preserve"> настоящего Приложения (включительно) - по ключевой ставке Банка России плюс 4 (четыре) процента годовых;</w:t>
      </w:r>
    </w:p>
    <w:p w:rsidR="00F44D6E" w:rsidRPr="00212F97" w:rsidRDefault="00F44D6E" w:rsidP="0098798D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 xml:space="preserve">в течение периода, предусмотренного пунктом </w:t>
      </w:r>
      <w:r w:rsidR="00E02A15">
        <w:fldChar w:fldCharType="begin"/>
      </w:r>
      <w:r w:rsidR="00E02A15">
        <w:instrText xml:space="preserve"> REF _Ref476596304 \r \h  \* MERGEFORMAT </w:instrText>
      </w:r>
      <w:r w:rsidR="00E02A15">
        <w:fldChar w:fldCharType="separate"/>
      </w:r>
      <w:r w:rsidR="002F5737">
        <w:t>5.6</w:t>
      </w:r>
      <w:r w:rsidR="00E02A15">
        <w:fldChar w:fldCharType="end"/>
      </w:r>
      <w:r w:rsidRPr="00212F97">
        <w:t xml:space="preserve"> настоящего Приложения (включительно) – по ключевой ставке Банка России плюс 6 (шесть) процентов годовых; </w:t>
      </w:r>
    </w:p>
    <w:p w:rsidR="00F44D6E" w:rsidRPr="00212F97" w:rsidRDefault="00F44D6E" w:rsidP="0098798D">
      <w:pPr>
        <w:pStyle w:val="a5"/>
        <w:numPr>
          <w:ilvl w:val="2"/>
          <w:numId w:val="2"/>
        </w:numPr>
        <w:spacing w:after="120"/>
        <w:ind w:left="1701" w:hanging="850"/>
      </w:pPr>
      <w:r w:rsidRPr="00212F97">
        <w:t xml:space="preserve">по истечении периодов, предусмотренных пунктами </w:t>
      </w:r>
      <w:r w:rsidR="00E02A15">
        <w:fldChar w:fldCharType="begin"/>
      </w:r>
      <w:r w:rsidR="00E02A15">
        <w:instrText xml:space="preserve"> REF _Ref476595950 \r \h  \* MERGEFORMAT </w:instrText>
      </w:r>
      <w:r w:rsidR="00E02A15">
        <w:fldChar w:fldCharType="separate"/>
      </w:r>
      <w:r w:rsidR="002F5737">
        <w:t>5.5</w:t>
      </w:r>
      <w:r w:rsidR="00E02A15">
        <w:fldChar w:fldCharType="end"/>
      </w:r>
      <w:r w:rsidRPr="00212F97">
        <w:t xml:space="preserve"> и </w:t>
      </w:r>
      <w:r w:rsidR="00E02A15">
        <w:fldChar w:fldCharType="begin"/>
      </w:r>
      <w:r w:rsidR="00E02A15">
        <w:instrText xml:space="preserve"> REF _Ref476596304 \r \h  \* MERGEFORMAT </w:instrText>
      </w:r>
      <w:r w:rsidR="00E02A15">
        <w:fldChar w:fldCharType="separate"/>
      </w:r>
      <w:r w:rsidR="002F5737">
        <w:t>5.6</w:t>
      </w:r>
      <w:r w:rsidR="00E02A15">
        <w:fldChar w:fldCharType="end"/>
      </w:r>
      <w:r w:rsidRPr="00212F97">
        <w:t xml:space="preserve"> настоящего Приложения – по ключевой ставке Банка России плюс 8 (восемь) процентов годовых</w:t>
      </w:r>
      <w:bookmarkEnd w:id="14"/>
      <w:r w:rsidRPr="00212F97">
        <w:t>;</w:t>
      </w:r>
    </w:p>
    <w:p w:rsidR="00F44D6E" w:rsidRPr="00212F97" w:rsidRDefault="00F44D6E" w:rsidP="0098798D">
      <w:pPr>
        <w:pStyle w:val="a5"/>
        <w:numPr>
          <w:ilvl w:val="1"/>
          <w:numId w:val="2"/>
        </w:numPr>
        <w:spacing w:after="120"/>
        <w:ind w:left="851" w:hanging="851"/>
      </w:pPr>
      <w:bookmarkStart w:id="15" w:name="_Ref481181024"/>
      <w:r w:rsidRPr="00212F97">
        <w:t>В случае</w:t>
      </w:r>
      <w:proofErr w:type="gramStart"/>
      <w:r w:rsidRPr="00212F97">
        <w:t>,</w:t>
      </w:r>
      <w:proofErr w:type="gramEnd"/>
      <w:r w:rsidRPr="00212F97">
        <w:t xml:space="preserve"> если в Прямом соглашении будет согласован иной порядок расчета и выплаты процентов, указанных в пункте </w:t>
      </w:r>
      <w:r w:rsidR="0086202B">
        <w:fldChar w:fldCharType="begin"/>
      </w:r>
      <w:r w:rsidR="0086202B">
        <w:instrText xml:space="preserve"> REF _Ref479794313 \r \h  \* MERGEFORMAT </w:instrText>
      </w:r>
      <w:r w:rsidR="0086202B">
        <w:fldChar w:fldCharType="separate"/>
      </w:r>
      <w:r w:rsidR="002F5737">
        <w:t>5.10</w:t>
      </w:r>
      <w:r w:rsidR="0086202B">
        <w:fldChar w:fldCharType="end"/>
      </w:r>
      <w:r w:rsidRPr="00212F97">
        <w:t xml:space="preserve"> Приложения, применяются положения Прямого соглашения.</w:t>
      </w:r>
      <w:bookmarkEnd w:id="15"/>
    </w:p>
    <w:p w:rsidR="00F44D6E" w:rsidRPr="00212F97" w:rsidRDefault="00F44D6E" w:rsidP="00F44D6E">
      <w:pPr>
        <w:pStyle w:val="a5"/>
        <w:spacing w:after="120"/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F44D6E" w:rsidRPr="00212F97" w:rsidTr="00C83DB7">
        <w:tc>
          <w:tcPr>
            <w:tcW w:w="9498" w:type="dxa"/>
            <w:gridSpan w:val="2"/>
          </w:tcPr>
          <w:p w:rsidR="00F44D6E" w:rsidRPr="00212F97" w:rsidRDefault="00F44D6E" w:rsidP="00C83DB7">
            <w:pPr>
              <w:spacing w:after="120"/>
              <w:rPr>
                <w:b/>
              </w:rPr>
            </w:pPr>
            <w:r w:rsidRPr="00212F97">
              <w:rPr>
                <w:b/>
              </w:rPr>
              <w:t>ПОДПИСИ СТОРОН</w:t>
            </w:r>
          </w:p>
        </w:tc>
      </w:tr>
      <w:tr w:rsidR="00F44D6E" w:rsidRPr="00212F97" w:rsidTr="00C83DB7">
        <w:tc>
          <w:tcPr>
            <w:tcW w:w="4820" w:type="dxa"/>
          </w:tcPr>
          <w:p w:rsidR="00F44D6E" w:rsidRPr="00212F97" w:rsidRDefault="00F44D6E" w:rsidP="00C83DB7">
            <w:pPr>
              <w:spacing w:after="120"/>
              <w:rPr>
                <w:b/>
              </w:rPr>
            </w:pPr>
            <w:r w:rsidRPr="00972B28">
              <w:rPr>
                <w:b/>
                <w:iCs/>
              </w:rPr>
              <w:t>Свердловская область</w:t>
            </w:r>
          </w:p>
        </w:tc>
        <w:tc>
          <w:tcPr>
            <w:tcW w:w="4678" w:type="dxa"/>
          </w:tcPr>
          <w:p w:rsidR="00F44D6E" w:rsidRPr="00212F97" w:rsidRDefault="00F44D6E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212F97">
              <w:rPr>
                <w:b/>
              </w:rPr>
              <w:t>Концедент</w:t>
            </w:r>
          </w:p>
        </w:tc>
      </w:tr>
      <w:tr w:rsidR="00F44D6E" w:rsidRPr="00212F97" w:rsidTr="00C83DB7">
        <w:tc>
          <w:tcPr>
            <w:tcW w:w="4820" w:type="dxa"/>
            <w:hideMark/>
          </w:tcPr>
          <w:p w:rsidR="00F44D6E" w:rsidRPr="00212F97" w:rsidRDefault="00F44D6E" w:rsidP="00C83DB7">
            <w:pPr>
              <w:spacing w:after="120"/>
            </w:pPr>
            <w:r w:rsidRPr="00212F97">
              <w:t>[</w:t>
            </w:r>
            <w:r w:rsidRPr="00212F9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212F97">
              <w:t>]</w:t>
            </w:r>
          </w:p>
        </w:tc>
        <w:tc>
          <w:tcPr>
            <w:tcW w:w="4678" w:type="dxa"/>
          </w:tcPr>
          <w:p w:rsidR="00F44D6E" w:rsidRPr="00212F97" w:rsidRDefault="00F44D6E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Концедента</w:t>
            </w:r>
            <w:r w:rsidRPr="00212F97">
              <w:t>]</w:t>
            </w:r>
          </w:p>
        </w:tc>
      </w:tr>
      <w:tr w:rsidR="00F44D6E" w:rsidRPr="00212F97" w:rsidTr="00C83DB7">
        <w:tc>
          <w:tcPr>
            <w:tcW w:w="4820" w:type="dxa"/>
          </w:tcPr>
          <w:p w:rsidR="00F44D6E" w:rsidRPr="00212F97" w:rsidRDefault="00F44D6E" w:rsidP="00C83DB7">
            <w:pPr>
              <w:spacing w:after="120"/>
            </w:pPr>
          </w:p>
          <w:p w:rsidR="00F44D6E" w:rsidRPr="00212F97" w:rsidRDefault="00F44D6E" w:rsidP="00C83DB7">
            <w:pPr>
              <w:spacing w:after="120"/>
            </w:pPr>
          </w:p>
          <w:p w:rsidR="00F44D6E" w:rsidRPr="00212F97" w:rsidRDefault="00F44D6E" w:rsidP="00C83DB7">
            <w:pPr>
              <w:spacing w:after="120"/>
            </w:pPr>
            <w:r w:rsidRPr="00212F97">
              <w:t>_____________________/ [***] /</w:t>
            </w:r>
          </w:p>
          <w:p w:rsidR="00F44D6E" w:rsidRPr="00212F97" w:rsidRDefault="00F44D6E" w:rsidP="00C83DB7">
            <w:pPr>
              <w:spacing w:after="120"/>
            </w:pPr>
            <w:r w:rsidRPr="00212F97">
              <w:t>М.П.</w:t>
            </w:r>
          </w:p>
          <w:p w:rsidR="00F44D6E" w:rsidRPr="00212F97" w:rsidRDefault="00F44D6E" w:rsidP="00C83DB7">
            <w:pPr>
              <w:spacing w:after="120"/>
            </w:pPr>
          </w:p>
        </w:tc>
        <w:tc>
          <w:tcPr>
            <w:tcW w:w="4678" w:type="dxa"/>
          </w:tcPr>
          <w:p w:rsidR="00F44D6E" w:rsidRPr="00212F97" w:rsidRDefault="00F44D6E" w:rsidP="00C83DB7">
            <w:pPr>
              <w:spacing w:after="120"/>
            </w:pPr>
          </w:p>
          <w:p w:rsidR="00F44D6E" w:rsidRPr="00212F97" w:rsidRDefault="00F44D6E" w:rsidP="00C83DB7">
            <w:pPr>
              <w:spacing w:after="120"/>
            </w:pPr>
          </w:p>
          <w:p w:rsidR="00F44D6E" w:rsidRPr="00212F97" w:rsidRDefault="00F44D6E" w:rsidP="00C83DB7">
            <w:pPr>
              <w:spacing w:after="120"/>
            </w:pPr>
            <w:r w:rsidRPr="00212F97">
              <w:t>_____________________/ [***] /</w:t>
            </w:r>
          </w:p>
          <w:p w:rsidR="00F44D6E" w:rsidRPr="00212F97" w:rsidRDefault="00F44D6E" w:rsidP="00C83DB7">
            <w:pPr>
              <w:spacing w:after="120"/>
            </w:pPr>
            <w:r w:rsidRPr="00212F97">
              <w:t>М.П.</w:t>
            </w:r>
          </w:p>
          <w:p w:rsidR="00F44D6E" w:rsidRPr="00212F97" w:rsidRDefault="00F44D6E" w:rsidP="00C83DB7">
            <w:pPr>
              <w:spacing w:after="120"/>
            </w:pPr>
          </w:p>
        </w:tc>
      </w:tr>
      <w:tr w:rsidR="00F44D6E" w:rsidRPr="00212F97" w:rsidTr="00C83DB7">
        <w:tc>
          <w:tcPr>
            <w:tcW w:w="4820" w:type="dxa"/>
          </w:tcPr>
          <w:p w:rsidR="00F44D6E" w:rsidRPr="00212F97" w:rsidRDefault="00F44D6E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212F97">
              <w:rPr>
                <w:b/>
              </w:rPr>
              <w:t>Концессионер</w:t>
            </w:r>
          </w:p>
        </w:tc>
        <w:tc>
          <w:tcPr>
            <w:tcW w:w="4678" w:type="dxa"/>
          </w:tcPr>
          <w:p w:rsidR="00F44D6E" w:rsidRPr="00212F97" w:rsidRDefault="00F44D6E" w:rsidP="00C83DB7">
            <w:pPr>
              <w:spacing w:after="120"/>
              <w:rPr>
                <w:b/>
              </w:rPr>
            </w:pPr>
          </w:p>
        </w:tc>
      </w:tr>
      <w:tr w:rsidR="00F44D6E" w:rsidRPr="00212F97" w:rsidTr="00C83DB7">
        <w:tc>
          <w:tcPr>
            <w:tcW w:w="4820" w:type="dxa"/>
            <w:hideMark/>
          </w:tcPr>
          <w:p w:rsidR="00F44D6E" w:rsidRPr="004A3B2F" w:rsidRDefault="00F44D6E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Cs/>
              </w:rPr>
            </w:pPr>
            <w:r>
              <w:rPr>
                <w:bCs/>
              </w:rPr>
              <w:t>Директор</w:t>
            </w:r>
          </w:p>
        </w:tc>
        <w:tc>
          <w:tcPr>
            <w:tcW w:w="4678" w:type="dxa"/>
          </w:tcPr>
          <w:p w:rsidR="00F44D6E" w:rsidRPr="00212F97" w:rsidRDefault="00F44D6E" w:rsidP="00C83DB7">
            <w:pPr>
              <w:spacing w:after="120"/>
            </w:pPr>
          </w:p>
        </w:tc>
      </w:tr>
      <w:tr w:rsidR="00F44D6E" w:rsidRPr="00212F97" w:rsidTr="00C83DB7">
        <w:tc>
          <w:tcPr>
            <w:tcW w:w="4820" w:type="dxa"/>
          </w:tcPr>
          <w:p w:rsidR="00F44D6E" w:rsidRPr="00212F97" w:rsidRDefault="00F44D6E" w:rsidP="00C83DB7">
            <w:pPr>
              <w:spacing w:after="120"/>
            </w:pPr>
          </w:p>
          <w:p w:rsidR="00F44D6E" w:rsidRPr="00212F97" w:rsidRDefault="00F44D6E" w:rsidP="00C83DB7">
            <w:pPr>
              <w:spacing w:after="120"/>
            </w:pPr>
          </w:p>
          <w:p w:rsidR="00F44D6E" w:rsidRPr="00212F97" w:rsidRDefault="00F44D6E" w:rsidP="00C83DB7">
            <w:pPr>
              <w:spacing w:after="120"/>
            </w:pPr>
            <w:r w:rsidRPr="00212F97">
              <w:t xml:space="preserve">_____________________/ </w:t>
            </w:r>
            <w:r w:rsidR="0086202B">
              <w:t>О.Е. Михайлов</w:t>
            </w:r>
            <w:bookmarkStart w:id="16" w:name="_GoBack"/>
            <w:bookmarkEnd w:id="16"/>
            <w:r w:rsidRPr="00212F97">
              <w:t>/</w:t>
            </w:r>
          </w:p>
          <w:p w:rsidR="00F44D6E" w:rsidRPr="00212F97" w:rsidRDefault="00F44D6E" w:rsidP="00C83DB7">
            <w:pPr>
              <w:spacing w:after="120"/>
            </w:pPr>
            <w:r w:rsidRPr="00212F97">
              <w:t>М.П.</w:t>
            </w:r>
          </w:p>
          <w:p w:rsidR="00F44D6E" w:rsidRPr="00212F97" w:rsidRDefault="00F44D6E" w:rsidP="00C83DB7">
            <w:pPr>
              <w:spacing w:after="120"/>
            </w:pPr>
          </w:p>
        </w:tc>
        <w:tc>
          <w:tcPr>
            <w:tcW w:w="4678" w:type="dxa"/>
          </w:tcPr>
          <w:p w:rsidR="00F44D6E" w:rsidRPr="00212F97" w:rsidRDefault="00F44D6E" w:rsidP="00C83DB7">
            <w:pPr>
              <w:spacing w:after="120"/>
            </w:pPr>
          </w:p>
        </w:tc>
      </w:tr>
    </w:tbl>
    <w:p w:rsidR="003705C9" w:rsidRDefault="003705C9"/>
    <w:sectPr w:rsidR="003705C9" w:rsidSect="00370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2F0"/>
    <w:multiLevelType w:val="multilevel"/>
    <w:tmpl w:val="1A908710"/>
    <w:lvl w:ilvl="0">
      <w:start w:val="1"/>
      <w:numFmt w:val="lowerRoman"/>
      <w:lvlText w:val="(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7E55C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321A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6C94340F"/>
    <w:multiLevelType w:val="multilevel"/>
    <w:tmpl w:val="A078ABD4"/>
    <w:lvl w:ilvl="0">
      <w:start w:val="1"/>
      <w:numFmt w:val="lowerRoman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6E"/>
    <w:rsid w:val="002F5737"/>
    <w:rsid w:val="003705C9"/>
    <w:rsid w:val="0086202B"/>
    <w:rsid w:val="0098798D"/>
    <w:rsid w:val="00C9138E"/>
    <w:rsid w:val="00E02A15"/>
    <w:rsid w:val="00F4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4"/>
    <w:uiPriority w:val="34"/>
    <w:qFormat/>
    <w:rsid w:val="00F44D6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5">
    <w:name w:val="первый уровень приложения"/>
    <w:basedOn w:val="a"/>
    <w:qFormat/>
    <w:rsid w:val="00F44D6E"/>
    <w:pPr>
      <w:widowControl w:val="0"/>
      <w:autoSpaceDE w:val="0"/>
      <w:autoSpaceDN w:val="0"/>
      <w:adjustRightInd w:val="0"/>
      <w:spacing w:after="240"/>
      <w:jc w:val="both"/>
    </w:pPr>
  </w:style>
  <w:style w:type="paragraph" w:customStyle="1" w:styleId="a6">
    <w:name w:val="Название приложения"/>
    <w:basedOn w:val="a"/>
    <w:qFormat/>
    <w:rsid w:val="00F44D6E"/>
    <w:pPr>
      <w:spacing w:after="160" w:line="259" w:lineRule="auto"/>
      <w:jc w:val="center"/>
    </w:pPr>
    <w:rPr>
      <w:rFonts w:eastAsia="Calibri"/>
      <w:b/>
      <w:lang w:eastAsia="en-US"/>
    </w:rPr>
  </w:style>
  <w:style w:type="paragraph" w:styleId="a7">
    <w:name w:val="Body Text"/>
    <w:basedOn w:val="a"/>
    <w:link w:val="a8"/>
    <w:unhideWhenUsed/>
    <w:rsid w:val="00F44D6E"/>
    <w:pPr>
      <w:spacing w:after="120"/>
    </w:pPr>
    <w:rPr>
      <w:szCs w:val="20"/>
    </w:rPr>
  </w:style>
  <w:style w:type="character" w:customStyle="1" w:styleId="a8">
    <w:name w:val="Основной текст Знак"/>
    <w:basedOn w:val="a0"/>
    <w:link w:val="a7"/>
    <w:rsid w:val="00F44D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aliases w:val="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3"/>
    <w:uiPriority w:val="34"/>
    <w:locked/>
    <w:rsid w:val="00F44D6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44D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4D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4"/>
    <w:uiPriority w:val="34"/>
    <w:qFormat/>
    <w:rsid w:val="00F44D6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5">
    <w:name w:val="первый уровень приложения"/>
    <w:basedOn w:val="a"/>
    <w:qFormat/>
    <w:rsid w:val="00F44D6E"/>
    <w:pPr>
      <w:widowControl w:val="0"/>
      <w:autoSpaceDE w:val="0"/>
      <w:autoSpaceDN w:val="0"/>
      <w:adjustRightInd w:val="0"/>
      <w:spacing w:after="240"/>
      <w:jc w:val="both"/>
    </w:pPr>
  </w:style>
  <w:style w:type="paragraph" w:customStyle="1" w:styleId="a6">
    <w:name w:val="Название приложения"/>
    <w:basedOn w:val="a"/>
    <w:qFormat/>
    <w:rsid w:val="00F44D6E"/>
    <w:pPr>
      <w:spacing w:after="160" w:line="259" w:lineRule="auto"/>
      <w:jc w:val="center"/>
    </w:pPr>
    <w:rPr>
      <w:rFonts w:eastAsia="Calibri"/>
      <w:b/>
      <w:lang w:eastAsia="en-US"/>
    </w:rPr>
  </w:style>
  <w:style w:type="paragraph" w:styleId="a7">
    <w:name w:val="Body Text"/>
    <w:basedOn w:val="a"/>
    <w:link w:val="a8"/>
    <w:unhideWhenUsed/>
    <w:rsid w:val="00F44D6E"/>
    <w:pPr>
      <w:spacing w:after="120"/>
    </w:pPr>
    <w:rPr>
      <w:szCs w:val="20"/>
    </w:rPr>
  </w:style>
  <w:style w:type="character" w:customStyle="1" w:styleId="a8">
    <w:name w:val="Основной текст Знак"/>
    <w:basedOn w:val="a0"/>
    <w:link w:val="a7"/>
    <w:rsid w:val="00F44D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aliases w:val="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3"/>
    <w:uiPriority w:val="34"/>
    <w:locked/>
    <w:rsid w:val="00F44D6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44D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4D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568E6-C9C3-4D42-8260-1936341ED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1814</Words>
  <Characters>10343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2020-03-18T05:56:00Z</cp:lastPrinted>
  <dcterms:created xsi:type="dcterms:W3CDTF">2020-04-17T07:47:00Z</dcterms:created>
  <dcterms:modified xsi:type="dcterms:W3CDTF">2020-04-17T07:47:00Z</dcterms:modified>
</cp:coreProperties>
</file>