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B42" w:rsidRPr="00212F97" w:rsidRDefault="006B6B42" w:rsidP="006B6B42">
      <w:pPr>
        <w:keepNext/>
        <w:widowControl w:val="0"/>
        <w:autoSpaceDE w:val="0"/>
        <w:autoSpaceDN w:val="0"/>
        <w:adjustRightInd w:val="0"/>
        <w:spacing w:after="120"/>
        <w:jc w:val="right"/>
      </w:pPr>
      <w:r w:rsidRPr="00212F97">
        <w:rPr>
          <w:b/>
        </w:rPr>
        <w:t>ПРИЛОЖЕНИЕ 1</w:t>
      </w:r>
      <w:r w:rsidRPr="00212F97">
        <w:rPr>
          <w:b/>
        </w:rPr>
        <w:br/>
      </w:r>
      <w:r w:rsidRPr="00212F97">
        <w:t>к концессионному соглашению [</w:t>
      </w:r>
      <w:r w:rsidRPr="00212F97">
        <w:rPr>
          <w:i/>
        </w:rPr>
        <w:t>указать реквизиты</w:t>
      </w:r>
      <w:r w:rsidRPr="00212F97">
        <w:t>]</w:t>
      </w:r>
    </w:p>
    <w:p w:rsidR="006B6B42" w:rsidRPr="00212F97" w:rsidRDefault="006B6B42" w:rsidP="006B6B42">
      <w:pPr>
        <w:pStyle w:val="1"/>
        <w:numPr>
          <w:ilvl w:val="0"/>
          <w:numId w:val="0"/>
        </w:numPr>
        <w:spacing w:after="120"/>
        <w:ind w:left="709"/>
        <w:jc w:val="center"/>
      </w:pPr>
      <w:bookmarkStart w:id="0" w:name="_Термины_и_определения"/>
      <w:bookmarkStart w:id="1" w:name="_Toc466995906"/>
      <w:bookmarkStart w:id="2" w:name="_Toc468217663"/>
      <w:bookmarkStart w:id="3" w:name="_Toc468892630"/>
      <w:bookmarkStart w:id="4" w:name="_Toc473692367"/>
      <w:bookmarkStart w:id="5" w:name="_Toc476857548"/>
      <w:bookmarkStart w:id="6" w:name="_Toc350977282"/>
      <w:bookmarkStart w:id="7" w:name="_Toc481181853"/>
      <w:bookmarkStart w:id="8" w:name="_Toc477970513"/>
      <w:bookmarkStart w:id="9" w:name="_Toc484822136"/>
      <w:bookmarkStart w:id="10" w:name="_Toc31802590"/>
      <w:bookmarkEnd w:id="0"/>
      <w:r w:rsidRPr="00212F97">
        <w:t>Термины и определения</w:t>
      </w:r>
      <w:bookmarkEnd w:id="1"/>
      <w:bookmarkEnd w:id="2"/>
      <w:bookmarkEnd w:id="3"/>
      <w:bookmarkEnd w:id="4"/>
      <w:bookmarkEnd w:id="5"/>
      <w:bookmarkEnd w:id="6"/>
      <w:bookmarkEnd w:id="7"/>
      <w:bookmarkEnd w:id="8"/>
      <w:bookmarkEnd w:id="9"/>
      <w:bookmarkEnd w:id="10"/>
    </w:p>
    <w:p w:rsidR="006B6B42" w:rsidRPr="00212F97" w:rsidRDefault="006B6B42" w:rsidP="006B6B42">
      <w:pPr>
        <w:pStyle w:val="a6"/>
        <w:numPr>
          <w:ilvl w:val="0"/>
          <w:numId w:val="2"/>
        </w:numPr>
        <w:spacing w:after="120"/>
        <w:ind w:left="567" w:hanging="567"/>
      </w:pPr>
      <w:r w:rsidRPr="00212F97">
        <w:t>В настоящем Концессионном соглашении и Приложениях к нему, если иное не следует из контекста, следующие слова и словосочетания имеют значения, указанные ниже.</w:t>
      </w:r>
    </w:p>
    <w:tbl>
      <w:tblPr>
        <w:tblStyle w:val="a5"/>
        <w:tblW w:w="0" w:type="auto"/>
        <w:tblLook w:val="04A0" w:firstRow="1" w:lastRow="0" w:firstColumn="1" w:lastColumn="0" w:noHBand="0" w:noVBand="1"/>
      </w:tblPr>
      <w:tblGrid>
        <w:gridCol w:w="3362"/>
        <w:gridCol w:w="5983"/>
      </w:tblGrid>
      <w:tr w:rsidR="006B6B42" w:rsidRPr="00212F97" w:rsidTr="00C83DB7">
        <w:tc>
          <w:tcPr>
            <w:tcW w:w="3362" w:type="dxa"/>
          </w:tcPr>
          <w:p w:rsidR="006B6B42" w:rsidRPr="00212F97" w:rsidRDefault="006B6B42" w:rsidP="00C83DB7">
            <w:pPr>
              <w:pStyle w:val="a6"/>
              <w:spacing w:after="120"/>
              <w:ind w:left="0" w:firstLine="0"/>
              <w:rPr>
                <w:b/>
              </w:rPr>
            </w:pPr>
            <w:r w:rsidRPr="00212F97">
              <w:rPr>
                <w:b/>
              </w:rPr>
              <w:t>Термин/сокращение</w:t>
            </w:r>
          </w:p>
        </w:tc>
        <w:tc>
          <w:tcPr>
            <w:tcW w:w="5983" w:type="dxa"/>
          </w:tcPr>
          <w:p w:rsidR="006B6B42" w:rsidRPr="00212F97" w:rsidRDefault="006B6B42" w:rsidP="00C83DB7">
            <w:pPr>
              <w:pStyle w:val="a6"/>
              <w:spacing w:after="120"/>
              <w:ind w:left="0" w:firstLine="0"/>
              <w:rPr>
                <w:b/>
              </w:rPr>
            </w:pPr>
            <w:r w:rsidRPr="00212F97">
              <w:rPr>
                <w:b/>
              </w:rPr>
              <w:t>Значение</w:t>
            </w:r>
          </w:p>
        </w:tc>
      </w:tr>
      <w:tr w:rsidR="006B6B42" w:rsidRPr="00212F97" w:rsidTr="00C83DB7">
        <w:tc>
          <w:tcPr>
            <w:tcW w:w="3362" w:type="dxa"/>
          </w:tcPr>
          <w:p w:rsidR="006B6B42" w:rsidRPr="00212F97" w:rsidRDefault="006B6B42" w:rsidP="00C83DB7">
            <w:pPr>
              <w:pStyle w:val="a6"/>
              <w:spacing w:after="120"/>
              <w:ind w:left="0" w:firstLine="0"/>
              <w:jc w:val="left"/>
              <w:rPr>
                <w:b/>
              </w:rPr>
            </w:pPr>
            <w:r w:rsidRPr="00212F97">
              <w:rPr>
                <w:b/>
              </w:rPr>
              <w:t>Акт о выполнении мероприятий по Реконструкции</w:t>
            </w:r>
          </w:p>
        </w:tc>
        <w:tc>
          <w:tcPr>
            <w:tcW w:w="5983" w:type="dxa"/>
          </w:tcPr>
          <w:p w:rsidR="006B6B42" w:rsidRPr="00212F97" w:rsidRDefault="006B6B42" w:rsidP="00C83DB7">
            <w:pPr>
              <w:pStyle w:val="a6"/>
              <w:spacing w:after="120"/>
              <w:ind w:left="0" w:firstLine="0"/>
            </w:pPr>
            <w:r w:rsidRPr="00212F97">
              <w:t>имеет значение, указанное в пункте</w:t>
            </w:r>
            <w:r w:rsidR="00035653">
              <w:t xml:space="preserve"> 21.3</w:t>
            </w:r>
            <w:r w:rsidRPr="00212F97">
              <w:t>.</w:t>
            </w:r>
          </w:p>
          <w:p w:rsidR="006B6B42" w:rsidRPr="00212F97" w:rsidRDefault="006B6B42" w:rsidP="00C83DB7">
            <w:pPr>
              <w:pStyle w:val="a6"/>
              <w:spacing w:after="120"/>
              <w:ind w:left="0" w:firstLine="0"/>
            </w:pPr>
          </w:p>
        </w:tc>
      </w:tr>
      <w:tr w:rsidR="006B6B42" w:rsidRPr="00212F97" w:rsidTr="00C83DB7">
        <w:tc>
          <w:tcPr>
            <w:tcW w:w="3362" w:type="dxa"/>
          </w:tcPr>
          <w:p w:rsidR="006B6B42" w:rsidRPr="00212F97" w:rsidRDefault="006B6B42" w:rsidP="00C83DB7">
            <w:pPr>
              <w:pStyle w:val="a6"/>
              <w:spacing w:after="120"/>
              <w:ind w:left="0" w:firstLine="0"/>
              <w:jc w:val="left"/>
              <w:rPr>
                <w:b/>
              </w:rPr>
            </w:pPr>
            <w:r w:rsidRPr="00212F97">
              <w:rPr>
                <w:b/>
              </w:rPr>
              <w:t>Итоговый акт о выполнении мероприятий по Реконструкции</w:t>
            </w:r>
          </w:p>
        </w:tc>
        <w:tc>
          <w:tcPr>
            <w:tcW w:w="5983" w:type="dxa"/>
          </w:tcPr>
          <w:p w:rsidR="006B6B42" w:rsidRPr="00212F97" w:rsidRDefault="006B6B42" w:rsidP="00035653">
            <w:pPr>
              <w:pStyle w:val="a6"/>
              <w:spacing w:after="120"/>
              <w:ind w:left="0" w:firstLine="0"/>
            </w:pPr>
            <w:r w:rsidRPr="00212F97">
              <w:t>Имеет значение, указанное в пункте</w:t>
            </w:r>
            <w:r w:rsidR="00035653">
              <w:t xml:space="preserve"> 21.7</w:t>
            </w:r>
            <w:r w:rsidRPr="00212F97">
              <w:t>.</w:t>
            </w:r>
          </w:p>
        </w:tc>
      </w:tr>
      <w:tr w:rsidR="006B6B42" w:rsidRPr="00212F97" w:rsidTr="00C83DB7">
        <w:tc>
          <w:tcPr>
            <w:tcW w:w="3362" w:type="dxa"/>
          </w:tcPr>
          <w:p w:rsidR="006B6B42" w:rsidRPr="00212F97" w:rsidRDefault="006B6B42" w:rsidP="00C83DB7">
            <w:pPr>
              <w:pStyle w:val="a6"/>
              <w:spacing w:after="120"/>
              <w:ind w:left="0" w:firstLine="0"/>
              <w:jc w:val="left"/>
              <w:rPr>
                <w:b/>
              </w:rPr>
            </w:pPr>
            <w:r w:rsidRPr="00212F97">
              <w:rPr>
                <w:b/>
              </w:rPr>
              <w:t>Акт приемки работ</w:t>
            </w:r>
          </w:p>
        </w:tc>
        <w:tc>
          <w:tcPr>
            <w:tcW w:w="5983" w:type="dxa"/>
          </w:tcPr>
          <w:p w:rsidR="006B6B42" w:rsidRPr="00212F97" w:rsidRDefault="006B6B42" w:rsidP="00C83DB7">
            <w:pPr>
              <w:pStyle w:val="a6"/>
              <w:spacing w:after="120"/>
              <w:ind w:left="0" w:firstLine="0"/>
            </w:pPr>
            <w:proofErr w:type="gramStart"/>
            <w:r w:rsidRPr="00212F97">
              <w:t>означает Акт о выполнении мероприятий по Реконструкции (либо Итоговый акт о выполнении мероприятий по Реконструкции – в зависимости от того, что применимо), достаточный в соответствии с законодательством для подтверждения факта объема и качества выполнения Работ в целях получения разрешения на ввод соответствующего объекта в эксплуатацию и (или) для Государственной регистрации права собственности Концедента и права владения и пользования Концессионера в отношении</w:t>
            </w:r>
            <w:proofErr w:type="gramEnd"/>
            <w:r w:rsidRPr="00212F97">
              <w:t xml:space="preserve"> соответствующего объекта недвижимого имущества, входящего в состав Объекта соглашения.</w:t>
            </w:r>
          </w:p>
        </w:tc>
      </w:tr>
      <w:tr w:rsidR="006B6B42" w:rsidRPr="00212F97" w:rsidTr="00C83DB7">
        <w:tc>
          <w:tcPr>
            <w:tcW w:w="3362" w:type="dxa"/>
          </w:tcPr>
          <w:p w:rsidR="006B6B42" w:rsidRPr="00212F97" w:rsidRDefault="006B6B42" w:rsidP="00C83DB7">
            <w:pPr>
              <w:pStyle w:val="a6"/>
              <w:spacing w:after="120"/>
              <w:ind w:left="0" w:firstLine="0"/>
            </w:pPr>
            <w:r w:rsidRPr="00212F97">
              <w:rPr>
                <w:b/>
              </w:rPr>
              <w:t>Акт финансового закрытия</w:t>
            </w:r>
          </w:p>
        </w:tc>
        <w:tc>
          <w:tcPr>
            <w:tcW w:w="5983" w:type="dxa"/>
          </w:tcPr>
          <w:p w:rsidR="006B6B42" w:rsidRPr="00212F97" w:rsidRDefault="006B6B42" w:rsidP="00C83DB7">
            <w:pPr>
              <w:pStyle w:val="a6"/>
              <w:spacing w:after="120"/>
              <w:ind w:left="0" w:firstLine="0"/>
            </w:pPr>
            <w:r w:rsidRPr="00212F97">
              <w:t>означает документ, подписываемый Сторонами, подтверждающий достижение Финансового закрытия.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Арбитражный суд</w:t>
            </w:r>
          </w:p>
        </w:tc>
        <w:tc>
          <w:tcPr>
            <w:tcW w:w="5983" w:type="dxa"/>
          </w:tcPr>
          <w:p w:rsidR="006B6B42" w:rsidRPr="00212F97" w:rsidRDefault="006B6B42" w:rsidP="00C83DB7">
            <w:pPr>
              <w:pStyle w:val="a6"/>
              <w:spacing w:after="120"/>
              <w:ind w:left="0" w:firstLine="0"/>
            </w:pPr>
            <w:r w:rsidRPr="00212F97">
              <w:t>означает Арбитражный суд Свердловской области.</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 xml:space="preserve">Археологические объекты </w:t>
            </w:r>
          </w:p>
        </w:tc>
        <w:tc>
          <w:tcPr>
            <w:tcW w:w="5983" w:type="dxa"/>
          </w:tcPr>
          <w:p w:rsidR="006B6B42" w:rsidRPr="00212F97" w:rsidRDefault="006B6B42" w:rsidP="00C83DB7">
            <w:pPr>
              <w:pStyle w:val="a6"/>
              <w:spacing w:after="120"/>
              <w:ind w:left="0" w:firstLine="0"/>
            </w:pPr>
            <w:r w:rsidRPr="00212F97">
              <w:t>означает объекты или вещи (в том числе, ископаемые, окаменелости, предметы старины), имеющие археологическое, культурное значение или денежную ценность.</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Аффилированное лицо</w:t>
            </w:r>
          </w:p>
        </w:tc>
        <w:tc>
          <w:tcPr>
            <w:tcW w:w="5983" w:type="dxa"/>
          </w:tcPr>
          <w:p w:rsidR="006B6B42" w:rsidRPr="00212F97" w:rsidRDefault="006B6B42" w:rsidP="00C83DB7">
            <w:pPr>
              <w:pStyle w:val="a6"/>
              <w:spacing w:after="120"/>
              <w:ind w:left="0" w:firstLine="0"/>
            </w:pPr>
            <w:r w:rsidRPr="00212F97">
              <w:t>означает юридическое и (или) физическое лицо, определенное как аффилированное в соответствии с законодательством.</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kern w:val="3"/>
                <w:lang w:eastAsia="ja-JP" w:bidi="fa-IR"/>
              </w:rPr>
              <w:t>Банковская гарантия</w:t>
            </w:r>
          </w:p>
        </w:tc>
        <w:tc>
          <w:tcPr>
            <w:tcW w:w="5983" w:type="dxa"/>
          </w:tcPr>
          <w:p w:rsidR="006B6B42" w:rsidRPr="00212F97" w:rsidRDefault="006B6B42" w:rsidP="00035653">
            <w:pPr>
              <w:pStyle w:val="a6"/>
              <w:spacing w:after="120"/>
              <w:ind w:left="0" w:firstLine="0"/>
            </w:pPr>
            <w:r w:rsidRPr="00212F97">
              <w:rPr>
                <w:kern w:val="3"/>
                <w:lang w:eastAsia="ja-JP" w:bidi="fa-IR"/>
              </w:rPr>
              <w:t>означает безотзывную банковскую гарантию, предоставляемую Концессионером в целях обеспечения исполнения Концессионером своих обязательств по Концессионному соглашени</w:t>
            </w:r>
            <w:r w:rsidR="00035653">
              <w:rPr>
                <w:kern w:val="3"/>
                <w:lang w:eastAsia="ja-JP" w:bidi="fa-IR"/>
              </w:rPr>
              <w:t>ю.</w:t>
            </w:r>
            <w:r w:rsidRPr="00212F97">
              <w:rPr>
                <w:kern w:val="3"/>
                <w:lang w:eastAsia="ja-JP" w:bidi="fa-IR"/>
              </w:rPr>
              <w:t xml:space="preserve"> Концессионного соглашения и </w:t>
            </w:r>
            <w:proofErr w:type="gramStart"/>
            <w:r w:rsidRPr="00212F97">
              <w:rPr>
                <w:kern w:val="3"/>
                <w:lang w:eastAsia="ja-JP" w:bidi="fa-IR"/>
              </w:rPr>
              <w:t>соответствующую</w:t>
            </w:r>
            <w:proofErr w:type="gramEnd"/>
            <w:r w:rsidRPr="00212F97">
              <w:rPr>
                <w:kern w:val="3"/>
                <w:lang w:eastAsia="ja-JP" w:bidi="fa-IR"/>
              </w:rPr>
              <w:t xml:space="preserve"> требованиям Постановления Правительства Российской Федерации № 1188 </w:t>
            </w:r>
            <w:r w:rsidRPr="00212F97">
              <w:t>«</w:t>
            </w:r>
            <w:r w:rsidRPr="00212F97">
              <w:rPr>
                <w:kern w:val="3"/>
                <w:lang w:eastAsia="ja-JP" w:bidi="fa-IR"/>
              </w:rPr>
              <w:t>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r w:rsidRPr="00212F97">
              <w:t>»</w:t>
            </w:r>
            <w:r w:rsidRPr="00212F97">
              <w:rPr>
                <w:kern w:val="3"/>
                <w:lang w:eastAsia="ja-JP" w:bidi="fa-IR"/>
              </w:rPr>
              <w:t xml:space="preserve"> от 19 декабря 2013 года.</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Бюджет Проекта</w:t>
            </w:r>
          </w:p>
        </w:tc>
        <w:tc>
          <w:tcPr>
            <w:tcW w:w="5983" w:type="dxa"/>
          </w:tcPr>
          <w:p w:rsidR="006B6B42" w:rsidRPr="00212F97" w:rsidRDefault="006B6B42" w:rsidP="00C83DB7">
            <w:pPr>
              <w:pStyle w:val="a6"/>
              <w:spacing w:after="120"/>
              <w:ind w:left="0" w:firstLine="0"/>
            </w:pPr>
            <w:proofErr w:type="gramStart"/>
            <w:r w:rsidRPr="00212F97">
              <w:t xml:space="preserve">означает затраты, произведенные Концессионером, </w:t>
            </w:r>
            <w:r w:rsidRPr="00212F97">
              <w:lastRenderedPageBreak/>
              <w:t xml:space="preserve">связанные с Реконструкцией Объекта Соглашения и подтверждённые документально, проценты и комиссии по Соглашениям о финансировании, уплачиваемые Концессионером на стадии Реконструкцией Объекта Соглашения, а также средства для [(i) формирования резервного счёта обслуживания долга в форме обособленного банковского счета </w:t>
            </w:r>
            <w:r w:rsidRPr="00212F97">
              <w:rPr>
                <w:b/>
              </w:rPr>
              <w:t>ИЛИ</w:t>
            </w:r>
            <w:r w:rsidRPr="00212F97">
              <w:t xml:space="preserve"> (</w:t>
            </w:r>
            <w:proofErr w:type="spellStart"/>
            <w:r w:rsidRPr="00212F97">
              <w:t>ii</w:t>
            </w:r>
            <w:proofErr w:type="spellEnd"/>
            <w:r w:rsidRPr="00212F97">
              <w:t>) приобретения Концессионером векселей Финансирующей организации и их залога в пользу Финансирующей организации, и расходы Концессионера, связанные с</w:t>
            </w:r>
            <w:proofErr w:type="gramEnd"/>
            <w:r w:rsidRPr="00212F97">
              <w:t xml:space="preserve"> выпуском и обслуживанием Банковской гарантии  или иного предусмотренного законодательством и Концессионным соглашением обеспечения исполнения Концессионером обязательств по Концессионному соглашению.</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lastRenderedPageBreak/>
              <w:t>Возмещающая сторона</w:t>
            </w:r>
          </w:p>
        </w:tc>
        <w:tc>
          <w:tcPr>
            <w:tcW w:w="5983" w:type="dxa"/>
          </w:tcPr>
          <w:p w:rsidR="006B6B42" w:rsidRPr="00212F97" w:rsidRDefault="006B6B42" w:rsidP="00035653">
            <w:pPr>
              <w:widowControl w:val="0"/>
              <w:autoSpaceDE w:val="0"/>
              <w:autoSpaceDN w:val="0"/>
              <w:adjustRightInd w:val="0"/>
              <w:spacing w:after="120"/>
              <w:ind w:left="0" w:firstLine="0"/>
            </w:pPr>
            <w:r w:rsidRPr="00212F97">
              <w:t xml:space="preserve">означает Сторону, которая обязана выплатить какую-либо денежную сумму в пользу Стороны, претендующей на возмещение, в соответствии со статьями </w:t>
            </w:r>
            <w:r w:rsidR="00035653">
              <w:t>17</w:t>
            </w:r>
            <w:r w:rsidRPr="00212F97">
              <w:t>и</w:t>
            </w:r>
            <w:r w:rsidR="00035653">
              <w:t xml:space="preserve"> 18</w:t>
            </w:r>
            <w:r w:rsidRPr="00212F97">
              <w:t>.</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Временные работы</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подготовительные работы, включая Подготовку территории, выполняемые Концессионером на Земельных участках, включая расчистку Земельных участков для выполнения Работ, прокладку временных инженерных сетей и подъездных путей, создание иных временных сооружений.</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Выпадающие доходы</w:t>
            </w:r>
          </w:p>
        </w:tc>
        <w:tc>
          <w:tcPr>
            <w:tcW w:w="5983" w:type="dxa"/>
          </w:tcPr>
          <w:p w:rsidR="006B6B42" w:rsidRPr="00212F97" w:rsidRDefault="006B6B42" w:rsidP="00C83DB7">
            <w:pPr>
              <w:pStyle w:val="a6"/>
              <w:spacing w:after="120"/>
              <w:ind w:left="0" w:firstLine="0"/>
            </w:pPr>
            <w:r w:rsidRPr="00212F97">
              <w:t>означает выпадающие доходы Концессионера, возникающие в случаях, предусмотренных частью 14 статьи 10 Федерального закона «О теплоснабжении», и подлежащие учету Органом регулирования при установлении Тарифов для Концессионера или возмещению Концессионеру в порядке, предусмотренном законодательством.</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Генеральный подрядчик</w:t>
            </w:r>
          </w:p>
        </w:tc>
        <w:tc>
          <w:tcPr>
            <w:tcW w:w="5983" w:type="dxa"/>
          </w:tcPr>
          <w:p w:rsidR="006B6B42" w:rsidRPr="00212F97" w:rsidRDefault="006B6B42" w:rsidP="00C83DB7">
            <w:pPr>
              <w:pStyle w:val="a6"/>
              <w:spacing w:after="120"/>
              <w:ind w:left="0" w:firstLine="0"/>
            </w:pPr>
            <w:r w:rsidRPr="00212F97">
              <w:t xml:space="preserve">означает лицо, привлекаемое Концессионером для выполнения работ </w:t>
            </w:r>
            <w:proofErr w:type="gramStart"/>
            <w:r w:rsidRPr="00212F97">
              <w:t>по</w:t>
            </w:r>
            <w:proofErr w:type="gramEnd"/>
            <w:r w:rsidRPr="00212F97">
              <w:t xml:space="preserve"> </w:t>
            </w:r>
            <w:proofErr w:type="gramStart"/>
            <w:r w:rsidRPr="00212F97">
              <w:t>Реконструкцией</w:t>
            </w:r>
            <w:proofErr w:type="gramEnd"/>
            <w:r w:rsidRPr="00212F97">
              <w:t xml:space="preserve"> Объекта Соглашения. Во избежание сомнений термин «Генеральный подрядчик» не включает третьих лиц, привлекаемых Генеральным подрядчиком для выполнения работ </w:t>
            </w:r>
            <w:proofErr w:type="gramStart"/>
            <w:r w:rsidRPr="00212F97">
              <w:t>по</w:t>
            </w:r>
            <w:proofErr w:type="gramEnd"/>
            <w:r w:rsidRPr="00212F97">
              <w:t xml:space="preserve"> </w:t>
            </w:r>
            <w:proofErr w:type="gramStart"/>
            <w:r w:rsidRPr="00212F97">
              <w:t>Реконструкцией</w:t>
            </w:r>
            <w:proofErr w:type="gramEnd"/>
            <w:r w:rsidRPr="00212F97">
              <w:t xml:space="preserve"> Объекта Соглашения.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Генеральный проектировщик</w:t>
            </w:r>
          </w:p>
        </w:tc>
        <w:tc>
          <w:tcPr>
            <w:tcW w:w="5983" w:type="dxa"/>
          </w:tcPr>
          <w:p w:rsidR="006B6B42" w:rsidRPr="00212F97" w:rsidRDefault="006B6B42" w:rsidP="00C83DB7">
            <w:pPr>
              <w:pStyle w:val="a6"/>
              <w:spacing w:after="120"/>
              <w:ind w:left="0" w:firstLine="0"/>
              <w:rPr>
                <w:lang w:val="en-US"/>
              </w:rPr>
            </w:pPr>
            <w:r w:rsidRPr="00212F97">
              <w:t>означает лицо, привлекаемое Концессионером для выполнения работ по Проектированию Объекта соглашения. Во избежание сомнений термин «Генеральный проектировщик» не включает третьих лиц, привлекаемых Генеральным проектировщиком для выполнения работ по Проектированию Объекта соглашения.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Государственная регистрация</w:t>
            </w:r>
          </w:p>
        </w:tc>
        <w:tc>
          <w:tcPr>
            <w:tcW w:w="5983" w:type="dxa"/>
          </w:tcPr>
          <w:p w:rsidR="006B6B42" w:rsidRPr="00212F97" w:rsidRDefault="006B6B42" w:rsidP="00C83DB7">
            <w:pPr>
              <w:pStyle w:val="a6"/>
              <w:spacing w:after="120"/>
              <w:ind w:left="0" w:firstLine="0"/>
            </w:pPr>
            <w:r w:rsidRPr="00212F97">
              <w:t>государственная регистрация права в Едином государственном реестре недвижимости в соответствии с Федеральным законом «О государственной регистрации недвижимости».</w:t>
            </w:r>
          </w:p>
        </w:tc>
      </w:tr>
      <w:tr w:rsidR="006B6B42" w:rsidRPr="00212F97" w:rsidTr="00C83DB7">
        <w:tc>
          <w:tcPr>
            <w:tcW w:w="3362" w:type="dxa"/>
          </w:tcPr>
          <w:p w:rsidR="006B6B42" w:rsidRPr="00212F97" w:rsidRDefault="006B6B42" w:rsidP="00C83DB7">
            <w:pPr>
              <w:pStyle w:val="a6"/>
              <w:spacing w:after="120"/>
              <w:ind w:left="0" w:firstLine="0"/>
              <w:jc w:val="left"/>
              <w:rPr>
                <w:b/>
              </w:rPr>
            </w:pPr>
            <w:r w:rsidRPr="00212F97">
              <w:rPr>
                <w:b/>
              </w:rPr>
              <w:lastRenderedPageBreak/>
              <w:t>Дата истечения срока действия концессионного соглашения</w:t>
            </w:r>
          </w:p>
        </w:tc>
        <w:tc>
          <w:tcPr>
            <w:tcW w:w="5983" w:type="dxa"/>
          </w:tcPr>
          <w:p w:rsidR="006B6B42" w:rsidRPr="00212F97" w:rsidRDefault="006B6B42" w:rsidP="00C83DB7">
            <w:pPr>
              <w:pStyle w:val="a6"/>
              <w:spacing w:after="120"/>
              <w:ind w:left="0" w:firstLine="0"/>
            </w:pPr>
            <w:r w:rsidRPr="00212F97">
              <w:t>означает календарную дату, наступающую через 30 лет после Даты заключения концессионного соглашения, в которую Концессионное соглашение прекращает свое действие, если Срок действия концессионного соглашения не был изменен, или если Концессионное соглашение не было прекращено досрочно.</w:t>
            </w:r>
          </w:p>
        </w:tc>
      </w:tr>
      <w:tr w:rsidR="006B6B42" w:rsidRPr="00212F97" w:rsidTr="00C83DB7">
        <w:tc>
          <w:tcPr>
            <w:tcW w:w="3362" w:type="dxa"/>
          </w:tcPr>
          <w:p w:rsidR="006B6B42" w:rsidRPr="00212F97" w:rsidRDefault="006B6B42" w:rsidP="00C83DB7">
            <w:pPr>
              <w:pStyle w:val="a6"/>
              <w:spacing w:after="120"/>
              <w:ind w:left="0" w:firstLine="0"/>
              <w:jc w:val="left"/>
              <w:rPr>
                <w:b/>
              </w:rPr>
            </w:pPr>
            <w:r w:rsidRPr="00212F97">
              <w:rPr>
                <w:b/>
              </w:rPr>
              <w:t>Дата прекращения концессионного соглашения</w:t>
            </w:r>
          </w:p>
        </w:tc>
        <w:tc>
          <w:tcPr>
            <w:tcW w:w="5983" w:type="dxa"/>
          </w:tcPr>
          <w:p w:rsidR="006B6B42" w:rsidRPr="00212F97" w:rsidRDefault="006B6B42" w:rsidP="00C83DB7">
            <w:pPr>
              <w:widowControl w:val="0"/>
              <w:tabs>
                <w:tab w:val="left" w:pos="567"/>
              </w:tabs>
              <w:autoSpaceDE w:val="0"/>
              <w:autoSpaceDN w:val="0"/>
              <w:adjustRightInd w:val="0"/>
              <w:spacing w:after="120"/>
              <w:ind w:left="0" w:firstLine="0"/>
            </w:pPr>
            <w:r w:rsidRPr="00212F97">
              <w:t xml:space="preserve">означает одну из следующих дат: </w:t>
            </w:r>
          </w:p>
          <w:p w:rsidR="006B6B42" w:rsidRPr="00212F97" w:rsidRDefault="006B6B42" w:rsidP="006B6B42">
            <w:pPr>
              <w:widowControl w:val="0"/>
              <w:numPr>
                <w:ilvl w:val="0"/>
                <w:numId w:val="1"/>
              </w:numPr>
              <w:autoSpaceDE w:val="0"/>
              <w:autoSpaceDN w:val="0"/>
              <w:adjustRightInd w:val="0"/>
              <w:spacing w:after="120"/>
              <w:ind w:left="601" w:hanging="567"/>
            </w:pPr>
            <w:r w:rsidRPr="00212F97">
              <w:t xml:space="preserve">Дата истечения срока действия концессионного соглашения; </w:t>
            </w:r>
          </w:p>
          <w:p w:rsidR="006B6B42" w:rsidRPr="00212F97" w:rsidRDefault="006B6B42" w:rsidP="006B6B42">
            <w:pPr>
              <w:widowControl w:val="0"/>
              <w:numPr>
                <w:ilvl w:val="0"/>
                <w:numId w:val="1"/>
              </w:numPr>
              <w:autoSpaceDE w:val="0"/>
              <w:autoSpaceDN w:val="0"/>
              <w:adjustRightInd w:val="0"/>
              <w:spacing w:after="120"/>
              <w:ind w:left="601" w:hanging="567"/>
            </w:pPr>
            <w:r w:rsidRPr="00212F97">
              <w:t>дата подписания Сторонами соглашения о досрочном прекращении Концессионного соглашения, если иная дата не указана в таком соглашении;</w:t>
            </w:r>
          </w:p>
          <w:p w:rsidR="006B6B42" w:rsidRPr="00212F97" w:rsidRDefault="006B6B42" w:rsidP="006B6B42">
            <w:pPr>
              <w:widowControl w:val="0"/>
              <w:numPr>
                <w:ilvl w:val="0"/>
                <w:numId w:val="1"/>
              </w:numPr>
              <w:autoSpaceDE w:val="0"/>
              <w:autoSpaceDN w:val="0"/>
              <w:adjustRightInd w:val="0"/>
              <w:spacing w:after="120"/>
              <w:ind w:left="601" w:hanging="567"/>
            </w:pPr>
            <w:r w:rsidRPr="00212F97">
              <w:t>дата, определенная в судебном решении о досрочном расторжении Концессионного соглашения.</w:t>
            </w:r>
          </w:p>
        </w:tc>
      </w:tr>
      <w:tr w:rsidR="006B6B42" w:rsidRPr="00212F97" w:rsidTr="00C83DB7">
        <w:tc>
          <w:tcPr>
            <w:tcW w:w="3362" w:type="dxa"/>
          </w:tcPr>
          <w:p w:rsidR="006B6B42" w:rsidRPr="00212F97" w:rsidRDefault="006B6B42" w:rsidP="00C83DB7">
            <w:pPr>
              <w:pStyle w:val="a6"/>
              <w:spacing w:after="120"/>
              <w:ind w:left="0" w:firstLine="0"/>
              <w:jc w:val="left"/>
              <w:rPr>
                <w:rFonts w:eastAsia="Andale Sans UI"/>
                <w:b/>
                <w:kern w:val="3"/>
                <w:lang w:eastAsia="ja-JP" w:bidi="fa-IR"/>
              </w:rPr>
            </w:pPr>
            <w:r w:rsidRPr="00212F97">
              <w:rPr>
                <w:rFonts w:eastAsia="Andale Sans UI"/>
                <w:b/>
                <w:kern w:val="3"/>
                <w:lang w:eastAsia="ja-JP" w:bidi="fa-IR"/>
              </w:rPr>
              <w:t>Денежные обязательства концедента</w:t>
            </w:r>
          </w:p>
        </w:tc>
        <w:tc>
          <w:tcPr>
            <w:tcW w:w="5983" w:type="dxa"/>
          </w:tcPr>
          <w:p w:rsidR="006B6B42" w:rsidRPr="00212F97" w:rsidRDefault="006B6B42" w:rsidP="00C83DB7">
            <w:pPr>
              <w:pStyle w:val="a6"/>
              <w:spacing w:after="120"/>
              <w:ind w:left="0" w:firstLine="0"/>
            </w:pPr>
            <w:r w:rsidRPr="00212F97">
              <w:t xml:space="preserve">означает обязательства Концедента выплатить Концессионеру или иному лицу определенную Концессионным соглашением или законодательством денежную сумму (денежное обязательство), закрепленные или подлежащие закреплению в расходных статьях бюджета Каменского </w:t>
            </w:r>
            <w:r>
              <w:t>городского округа</w:t>
            </w:r>
            <w:r w:rsidRPr="00212F97">
              <w:t xml:space="preserve"> на каждый год, в котором у Концедента возникает соответствующее денежное обязательство. Во избежание сомнений, исполнение Денежных обязательств концедента осуществляется путем предоставления Концессионеру или иному лицу бюджетных средств, закрепленных в расходных статьях бюджета Каменского </w:t>
            </w:r>
            <w:r>
              <w:t>городского округа</w:t>
            </w:r>
            <w:r w:rsidRPr="00212F97">
              <w:t xml:space="preserve"> в форме субсидии (как вида бюджетных ассигнований в соответствии с законодательством) или в иной предусмотренной законодательством форме.</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rFonts w:eastAsia="Andale Sans UI"/>
                <w:b/>
                <w:kern w:val="3"/>
                <w:lang w:eastAsia="ja-JP" w:bidi="fa-IR"/>
              </w:rPr>
              <w:t>Договор аренды Земельного участка</w:t>
            </w:r>
          </w:p>
        </w:tc>
        <w:tc>
          <w:tcPr>
            <w:tcW w:w="5983" w:type="dxa"/>
          </w:tcPr>
          <w:p w:rsidR="006B6B42" w:rsidRPr="00212F97" w:rsidRDefault="006B6B42" w:rsidP="00C83DB7">
            <w:pPr>
              <w:pStyle w:val="a6"/>
              <w:spacing w:after="120"/>
              <w:ind w:left="0" w:firstLine="0"/>
            </w:pPr>
            <w:r w:rsidRPr="00212F97">
              <w:t>означает договор аренды или субаренды Земельного участка для Реконструкции Объекта соглашения, осуществления Концессионной деятельности, заключаемый Концедентом и Концессионером по фор</w:t>
            </w:r>
            <w:r w:rsidR="00035653">
              <w:t>ме, установленной Приложением 11</w:t>
            </w:r>
            <w:r w:rsidRPr="00212F97">
              <w:t>.</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Договор подряда</w:t>
            </w:r>
          </w:p>
        </w:tc>
        <w:tc>
          <w:tcPr>
            <w:tcW w:w="5983" w:type="dxa"/>
          </w:tcPr>
          <w:p w:rsidR="006B6B42" w:rsidRPr="00212F97" w:rsidRDefault="006B6B42" w:rsidP="00C83DB7">
            <w:pPr>
              <w:pStyle w:val="a6"/>
              <w:spacing w:after="120"/>
              <w:ind w:left="0" w:firstLine="0"/>
            </w:pPr>
            <w:r w:rsidRPr="00212F97">
              <w:t>означает договор подряда на выполнение работ / оказание услуг, заключенный Концессионером с Генеральным подрядчиком для целей выполнения Работ.</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Договор поставки</w:t>
            </w:r>
          </w:p>
        </w:tc>
        <w:tc>
          <w:tcPr>
            <w:tcW w:w="5983" w:type="dxa"/>
          </w:tcPr>
          <w:p w:rsidR="006B6B42" w:rsidRPr="00212F97" w:rsidRDefault="006B6B42" w:rsidP="00C83DB7">
            <w:pPr>
              <w:pStyle w:val="a6"/>
              <w:spacing w:after="120"/>
              <w:ind w:left="0" w:firstLine="0"/>
            </w:pPr>
            <w:r w:rsidRPr="00212F97">
              <w:t>означает договор поставки строительных материалов и (или) оборудования, необходимых для выполнения Работ.</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rFonts w:eastAsia="Andale Sans UI"/>
                <w:b/>
                <w:kern w:val="3"/>
                <w:lang w:eastAsia="ja-JP" w:bidi="fa-IR"/>
              </w:rPr>
              <w:t>Договоры с потребителями</w:t>
            </w:r>
          </w:p>
        </w:tc>
        <w:tc>
          <w:tcPr>
            <w:tcW w:w="5983" w:type="dxa"/>
          </w:tcPr>
          <w:p w:rsidR="006B6B42" w:rsidRPr="00212F97" w:rsidRDefault="006B6B42" w:rsidP="00C83DB7">
            <w:pPr>
              <w:pStyle w:val="a6"/>
              <w:spacing w:after="120"/>
              <w:ind w:left="0" w:firstLine="0"/>
            </w:pPr>
            <w:r w:rsidRPr="00212F97">
              <w:rPr>
                <w:rFonts w:eastAsia="Andale Sans UI"/>
                <w:kern w:val="3"/>
                <w:lang w:eastAsia="ja-JP" w:bidi="fa-IR"/>
              </w:rPr>
              <w:t>означают договоры между Концессионером и Потребителями, подключенными (технологически присоединенными) к Объекту соглашения и (или) Иному имуществу, заключаемые в соответствии с законодательством.</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rFonts w:eastAsia="Andale Sans UI"/>
                <w:b/>
                <w:kern w:val="3"/>
                <w:lang w:eastAsia="ja-JP" w:bidi="fa-IR"/>
              </w:rPr>
              <w:lastRenderedPageBreak/>
              <w:t>Договоры по проекту</w:t>
            </w:r>
          </w:p>
        </w:tc>
        <w:tc>
          <w:tcPr>
            <w:tcW w:w="5983" w:type="dxa"/>
          </w:tcPr>
          <w:p w:rsidR="006B6B42" w:rsidRPr="00212F97" w:rsidRDefault="006B6B42" w:rsidP="00C83DB7">
            <w:pPr>
              <w:pStyle w:val="a6"/>
              <w:spacing w:after="120"/>
              <w:ind w:left="0" w:firstLine="0"/>
            </w:pPr>
            <w:r w:rsidRPr="00212F97">
              <w:rPr>
                <w:rFonts w:eastAsia="Andale Sans UI"/>
                <w:kern w:val="3"/>
                <w:lang w:eastAsia="ja-JP" w:bidi="fa-IR"/>
              </w:rPr>
              <w:t xml:space="preserve">означает договоры, </w:t>
            </w:r>
            <w:r>
              <w:rPr>
                <w:rFonts w:eastAsia="Andale Sans UI"/>
                <w:kern w:val="3"/>
                <w:lang w:eastAsia="ja-JP" w:bidi="fa-IR"/>
              </w:rPr>
              <w:t>заключаемые Концессионером в целях реализации Концессионного соглашения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Дополнительные расходы</w:t>
            </w:r>
          </w:p>
        </w:tc>
        <w:tc>
          <w:tcPr>
            <w:tcW w:w="5983" w:type="dxa"/>
          </w:tcPr>
          <w:p w:rsidR="006B6B42" w:rsidRPr="00212F97" w:rsidRDefault="006B6B42" w:rsidP="00C83DB7">
            <w:pPr>
              <w:pStyle w:val="a6"/>
              <w:spacing w:after="120"/>
              <w:ind w:left="0" w:firstLine="0"/>
            </w:pPr>
            <w:r w:rsidRPr="00212F97">
              <w:t>означает расходы Концессионера, которые Концессионер понес или должен понести в результате наступления Особого обстоятельства.</w:t>
            </w:r>
          </w:p>
        </w:tc>
      </w:tr>
      <w:tr w:rsidR="006B6B42" w:rsidRPr="00212F97" w:rsidTr="00C83DB7">
        <w:tc>
          <w:tcPr>
            <w:tcW w:w="3362" w:type="dxa"/>
          </w:tcPr>
          <w:p w:rsidR="006B6B42" w:rsidRPr="00212F97" w:rsidRDefault="006B6B42" w:rsidP="00C83DB7">
            <w:pPr>
              <w:pStyle w:val="a6"/>
              <w:spacing w:after="120"/>
              <w:ind w:left="0" w:firstLine="0"/>
              <w:rPr>
                <w:rFonts w:eastAsia="Andale Sans UI"/>
                <w:b/>
                <w:kern w:val="3"/>
                <w:lang w:eastAsia="ja-JP" w:bidi="fa-IR"/>
              </w:rPr>
            </w:pPr>
            <w:r w:rsidRPr="00212F97">
              <w:rPr>
                <w:b/>
              </w:rPr>
              <w:t>Задание и основные мероприятия</w:t>
            </w:r>
          </w:p>
        </w:tc>
        <w:tc>
          <w:tcPr>
            <w:tcW w:w="5983" w:type="dxa"/>
          </w:tcPr>
          <w:p w:rsidR="006B6B42" w:rsidRPr="00212F97" w:rsidRDefault="006B6B42" w:rsidP="00C83DB7">
            <w:pPr>
              <w:pStyle w:val="a6"/>
              <w:spacing w:after="120"/>
              <w:ind w:left="0" w:firstLine="0"/>
            </w:pPr>
            <w:r w:rsidRPr="00212F97">
              <w:t>означает задание и основные мероприятия, предусмотренные статьей 42 ФЗ «О концессионных соглашениях», приведенные в Приложении 4.</w:t>
            </w:r>
          </w:p>
        </w:tc>
      </w:tr>
      <w:tr w:rsidR="006B6B42" w:rsidRPr="00212F97" w:rsidTr="00C83DB7">
        <w:tc>
          <w:tcPr>
            <w:tcW w:w="3362" w:type="dxa"/>
          </w:tcPr>
          <w:p w:rsidR="006B6B42" w:rsidRPr="00212F97" w:rsidRDefault="006B6B42" w:rsidP="00C83DB7">
            <w:pPr>
              <w:pStyle w:val="a6"/>
              <w:spacing w:after="120"/>
              <w:ind w:left="0" w:firstLine="0"/>
              <w:rPr>
                <w:rFonts w:eastAsia="Andale Sans UI"/>
                <w:b/>
                <w:kern w:val="3"/>
                <w:lang w:eastAsia="ja-JP" w:bidi="fa-IR"/>
              </w:rPr>
            </w:pPr>
            <w:r w:rsidRPr="00212F97">
              <w:rPr>
                <w:b/>
              </w:rPr>
              <w:t>Заемные инвестиции</w:t>
            </w:r>
          </w:p>
        </w:tc>
        <w:tc>
          <w:tcPr>
            <w:tcW w:w="5983" w:type="dxa"/>
          </w:tcPr>
          <w:p w:rsidR="006B6B42" w:rsidRPr="00212F97" w:rsidRDefault="006B6B42" w:rsidP="00C83DB7">
            <w:pPr>
              <w:pStyle w:val="a6"/>
              <w:spacing w:after="120"/>
              <w:ind w:left="0" w:firstLine="0"/>
            </w:pPr>
            <w:r w:rsidRPr="00212F97">
              <w:t xml:space="preserve">означает предоставляемые Финансирующей организацией Концессионеру в соответствии с Соглашениями о финансировании денежные средства на цели финансирования Проекта. </w:t>
            </w:r>
          </w:p>
        </w:tc>
      </w:tr>
      <w:tr w:rsidR="006B6B42" w:rsidRPr="00212F97" w:rsidTr="00C83DB7">
        <w:tc>
          <w:tcPr>
            <w:tcW w:w="3362" w:type="dxa"/>
          </w:tcPr>
          <w:p w:rsidR="006B6B42" w:rsidRPr="00212F97" w:rsidRDefault="006B6B42" w:rsidP="00C83DB7">
            <w:pPr>
              <w:pStyle w:val="a6"/>
              <w:spacing w:after="120"/>
              <w:ind w:left="0" w:firstLine="0"/>
              <w:rPr>
                <w:rFonts w:eastAsia="Andale Sans UI"/>
                <w:b/>
                <w:kern w:val="3"/>
                <w:lang w:eastAsia="ja-JP" w:bidi="fa-IR"/>
              </w:rPr>
            </w:pPr>
            <w:r w:rsidRPr="00212F97">
              <w:rPr>
                <w:b/>
              </w:rPr>
              <w:t>Заключение экспертизы</w:t>
            </w:r>
          </w:p>
        </w:tc>
        <w:tc>
          <w:tcPr>
            <w:tcW w:w="5983" w:type="dxa"/>
          </w:tcPr>
          <w:p w:rsidR="006B6B42" w:rsidRPr="00212F97" w:rsidRDefault="006B6B42" w:rsidP="00C83DB7">
            <w:pPr>
              <w:pStyle w:val="a6"/>
              <w:spacing w:after="120"/>
              <w:ind w:left="0" w:firstLine="0"/>
            </w:pPr>
            <w:r w:rsidRPr="00212F97">
              <w:t>означает положительное заключение Экспертизы, выдаваемое в соответствии со статьей 49 Градостроительного кодекса Российской Федерации и иными положениями Законодательства.</w:t>
            </w:r>
          </w:p>
        </w:tc>
      </w:tr>
      <w:tr w:rsidR="006B6B42" w:rsidRPr="00212F97" w:rsidTr="00C83DB7">
        <w:tc>
          <w:tcPr>
            <w:tcW w:w="3362" w:type="dxa"/>
          </w:tcPr>
          <w:p w:rsidR="006B6B42" w:rsidRPr="00212F97" w:rsidRDefault="006B6B42" w:rsidP="00C83DB7">
            <w:pPr>
              <w:pStyle w:val="a6"/>
              <w:spacing w:after="120"/>
              <w:ind w:left="0" w:firstLine="0"/>
              <w:rPr>
                <w:rFonts w:eastAsia="Andale Sans UI"/>
                <w:b/>
                <w:kern w:val="3"/>
                <w:lang w:eastAsia="ja-JP" w:bidi="fa-IR"/>
              </w:rPr>
            </w:pPr>
            <w:r w:rsidRPr="00212F97">
              <w:rPr>
                <w:b/>
              </w:rPr>
              <w:t>Замещающее лицо</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лицо, предложенное Финансирующей организацией или Концедентом в качестве лица, в пользу которого будет произведена уступка прав и обязанностей Концессионера по Концессионному соглашению в соответствии с порядком и на условиях, предусмотренных Прямым соглашением.</w:t>
            </w:r>
          </w:p>
        </w:tc>
      </w:tr>
      <w:tr w:rsidR="006B6B42" w:rsidRPr="00212F97" w:rsidTr="00C83DB7">
        <w:tc>
          <w:tcPr>
            <w:tcW w:w="3362" w:type="dxa"/>
          </w:tcPr>
          <w:p w:rsidR="006B6B42" w:rsidRPr="00212F97" w:rsidRDefault="006B6B42" w:rsidP="00C83DB7">
            <w:pPr>
              <w:pStyle w:val="a6"/>
              <w:spacing w:after="120"/>
              <w:ind w:left="0" w:firstLine="0"/>
              <w:jc w:val="left"/>
              <w:rPr>
                <w:rFonts w:eastAsia="Andale Sans UI"/>
                <w:b/>
                <w:kern w:val="3"/>
                <w:lang w:eastAsia="ja-JP" w:bidi="fa-IR"/>
              </w:rPr>
            </w:pPr>
            <w:r w:rsidRPr="00212F97">
              <w:rPr>
                <w:b/>
              </w:rPr>
              <w:t>Заявление о прекращении</w:t>
            </w:r>
          </w:p>
        </w:tc>
        <w:tc>
          <w:tcPr>
            <w:tcW w:w="5983" w:type="dxa"/>
          </w:tcPr>
          <w:p w:rsidR="006B6B42" w:rsidRPr="00212F97" w:rsidRDefault="006B6B42" w:rsidP="00C83DB7">
            <w:pPr>
              <w:pStyle w:val="a6"/>
              <w:spacing w:after="120"/>
              <w:ind w:left="0" w:firstLine="0"/>
            </w:pPr>
            <w:r w:rsidRPr="00212F97">
              <w:t xml:space="preserve">означает письменное уведомление о намерении досрочно расторгнуть </w:t>
            </w:r>
            <w:r w:rsidRPr="00212F97">
              <w:rPr>
                <w:rFonts w:eastAsia="MS Mincho"/>
              </w:rPr>
              <w:t>Концессионное соглашение, направленное любой из Сторон другим Сторонам в соответствии с положениями Концессионного соглашения и Прямого соглашения</w:t>
            </w:r>
            <w:r w:rsidRPr="00212F97">
              <w:t>.</w:t>
            </w:r>
          </w:p>
        </w:tc>
      </w:tr>
      <w:tr w:rsidR="006B6B42" w:rsidRPr="00212F97" w:rsidTr="00C83DB7">
        <w:tc>
          <w:tcPr>
            <w:tcW w:w="3362" w:type="dxa"/>
          </w:tcPr>
          <w:p w:rsidR="006B6B42" w:rsidRPr="00212F97" w:rsidRDefault="006B6B42" w:rsidP="00C83DB7">
            <w:pPr>
              <w:pStyle w:val="a6"/>
              <w:spacing w:after="120"/>
              <w:ind w:left="0" w:firstLine="0"/>
              <w:rPr>
                <w:rFonts w:eastAsia="Andale Sans UI"/>
                <w:b/>
                <w:kern w:val="3"/>
                <w:lang w:eastAsia="ja-JP" w:bidi="fa-IR"/>
              </w:rPr>
            </w:pPr>
            <w:r w:rsidRPr="00212F97">
              <w:rPr>
                <w:b/>
              </w:rPr>
              <w:t>Земельный участок</w:t>
            </w:r>
          </w:p>
        </w:tc>
        <w:tc>
          <w:tcPr>
            <w:tcW w:w="5983" w:type="dxa"/>
          </w:tcPr>
          <w:p w:rsidR="006B6B42" w:rsidRPr="00212F97" w:rsidRDefault="006B6B42" w:rsidP="00C83DB7">
            <w:pPr>
              <w:pStyle w:val="a6"/>
              <w:spacing w:after="120"/>
              <w:ind w:left="0" w:firstLine="0"/>
            </w:pPr>
            <w:r w:rsidRPr="00212F97">
              <w:t>означает земельный участок, на котором располагается Объект соглашения и (или) Иное имущество и (или) который необходим для осуществления Концессионной деятельности, указанный в Приложении 3.</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Иное имущество</w:t>
            </w:r>
          </w:p>
        </w:tc>
        <w:tc>
          <w:tcPr>
            <w:tcW w:w="5983" w:type="dxa"/>
          </w:tcPr>
          <w:p w:rsidR="006B6B42" w:rsidRPr="00212F97" w:rsidRDefault="006B6B42" w:rsidP="00035653">
            <w:pPr>
              <w:widowControl w:val="0"/>
              <w:autoSpaceDE w:val="0"/>
              <w:autoSpaceDN w:val="0"/>
              <w:adjustRightInd w:val="0"/>
              <w:spacing w:after="120"/>
              <w:ind w:left="0" w:firstLine="0"/>
            </w:pPr>
            <w:r w:rsidRPr="00212F97">
              <w:t>имеет значение, определенное в пункте</w:t>
            </w:r>
            <w:r w:rsidR="00035653">
              <w:t xml:space="preserve"> 3</w:t>
            </w:r>
            <w:r w:rsidR="002D7CB1">
              <w:t>.6.</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Инвестор</w:t>
            </w:r>
          </w:p>
        </w:tc>
        <w:tc>
          <w:tcPr>
            <w:tcW w:w="5983" w:type="dxa"/>
          </w:tcPr>
          <w:p w:rsidR="006B6B42" w:rsidRPr="00212F97" w:rsidRDefault="006B6B42" w:rsidP="00C83DB7">
            <w:pPr>
              <w:widowControl w:val="0"/>
              <w:tabs>
                <w:tab w:val="left" w:pos="567"/>
              </w:tabs>
              <w:autoSpaceDE w:val="0"/>
              <w:autoSpaceDN w:val="0"/>
              <w:adjustRightInd w:val="0"/>
              <w:spacing w:after="120"/>
              <w:ind w:left="0" w:firstLine="0"/>
            </w:pPr>
            <w:r w:rsidRPr="00212F97">
              <w:t>означает лицо или лиц, входящих в группу лиц, если такое лицо или группа лиц прямо или косвенно владеет долями Концессионера и предоставляет Концессионеру Собственные инвестиции.</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lang w:eastAsia="ja-JP"/>
              </w:rPr>
              <w:t>Исполнительная документация</w:t>
            </w:r>
          </w:p>
        </w:tc>
        <w:tc>
          <w:tcPr>
            <w:tcW w:w="5983" w:type="dxa"/>
          </w:tcPr>
          <w:p w:rsidR="006B6B42" w:rsidRPr="00212F97" w:rsidRDefault="006B6B42" w:rsidP="00C83DB7">
            <w:pPr>
              <w:widowControl w:val="0"/>
              <w:autoSpaceDE w:val="0"/>
              <w:autoSpaceDN w:val="0"/>
              <w:adjustRightInd w:val="0"/>
              <w:spacing w:after="120"/>
              <w:ind w:left="0" w:firstLine="0"/>
            </w:pPr>
            <w:r w:rsidRPr="00212F97">
              <w:rPr>
                <w:lang w:eastAsia="ja-JP"/>
              </w:rPr>
              <w:t>означает документацию, оформляемую в процессе выполнения Работ и фиксирующую как процесс производства строительно-монтажных работ на Объекте соглашения, так и условия производства Работ, а также техническое состояние Объекта соглашения.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Компенсация при прекращении</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сумму,</w:t>
            </w:r>
            <w:r>
              <w:t xml:space="preserve"> </w:t>
            </w:r>
            <w:r w:rsidRPr="00212F97">
              <w:t xml:space="preserve">подлежащую </w:t>
            </w:r>
            <w:r w:rsidRPr="00212F97">
              <w:rPr>
                <w:rFonts w:eastAsia="MS Mincho"/>
              </w:rPr>
              <w:t>выплате в пользу Концессионера в случае, если Дата прекращения концессионного соглашения приходится на дату, предшествующую Дате истечения срока действия концессионного соглашения, и рассчитываемую в соответствии с Приложением 14.</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lastRenderedPageBreak/>
              <w:t>Концессионное соглашение</w:t>
            </w:r>
          </w:p>
        </w:tc>
        <w:tc>
          <w:tcPr>
            <w:tcW w:w="5983" w:type="dxa"/>
          </w:tcPr>
          <w:p w:rsidR="006B6B42" w:rsidRPr="00212F97" w:rsidRDefault="006B6B42" w:rsidP="00C83DB7">
            <w:pPr>
              <w:widowControl w:val="0"/>
              <w:autoSpaceDE w:val="0"/>
              <w:autoSpaceDN w:val="0"/>
              <w:adjustRightInd w:val="0"/>
              <w:spacing w:after="120"/>
              <w:ind w:left="0" w:firstLine="0"/>
            </w:pPr>
            <w:r w:rsidRPr="00212F97">
              <w:rPr>
                <w:bCs/>
              </w:rPr>
              <w:t>означает настоящее соглашение, в том числе все приложения и дополнения к нему.</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Лицо, относящееся к концеденту</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муниципальные органы Концедента и подведомственные им организации (включая их представителей и сотрудников), которые имеют полномочия, непосредственно относящиеся к Проекту.</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Лицо, относящееся к Субъекту РФ</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Государственные органы Субъекта РФ и подведомственные им организации (включая их представителей и сотрудников), которые имеют полномочия, непосредственно относящиеся к осуществлению Проекта.</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Лицо, относящееся к концессионеру</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Генерального подрядчика, Генерального проектировщика.</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Недополученные доходы</w:t>
            </w:r>
          </w:p>
        </w:tc>
        <w:tc>
          <w:tcPr>
            <w:tcW w:w="5983" w:type="dxa"/>
          </w:tcPr>
          <w:p w:rsidR="006B6B42" w:rsidRPr="00212F97" w:rsidRDefault="006B6B42" w:rsidP="00C83DB7">
            <w:pPr>
              <w:widowControl w:val="0"/>
              <w:autoSpaceDE w:val="0"/>
              <w:autoSpaceDN w:val="0"/>
              <w:adjustRightInd w:val="0"/>
              <w:spacing w:after="120"/>
              <w:ind w:left="0" w:firstLine="0"/>
            </w:pPr>
            <w:r w:rsidRPr="00212F97">
              <w:t>недополученные доходы Концессионера, связанные с осуществлением Концессионером регулируемых видов деятельности, возмещаемые за счет средств бюджета Субъекта РФ в случаях, предусмотренных статьей 10 (за исключением части 14) Федерального закона № 190-ФЗ «О теплоснабжении» от 27 июля 2010 года.</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Недостаток</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несоответствие Объекта соглашения требованиям Законодательства и (или) условиям Концессионного соглашения.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Необходимая валовая выручка</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необходимую валовую выручку Концессионера, рассчитываемую в соответствии с законодательством.</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Объект соглашения</w:t>
            </w:r>
          </w:p>
        </w:tc>
        <w:tc>
          <w:tcPr>
            <w:tcW w:w="5983" w:type="dxa"/>
          </w:tcPr>
          <w:p w:rsidR="006B6B42" w:rsidRPr="00212F97" w:rsidRDefault="006B6B42" w:rsidP="00C83DB7">
            <w:pPr>
              <w:widowControl w:val="0"/>
              <w:autoSpaceDE w:val="0"/>
              <w:autoSpaceDN w:val="0"/>
              <w:adjustRightInd w:val="0"/>
              <w:spacing w:after="120"/>
              <w:ind w:left="0" w:firstLine="0"/>
            </w:pPr>
            <w:r w:rsidRPr="00212F97">
              <w:t xml:space="preserve">означает подлежащие Реконструкции и используемые для Концессионной деятельности в соответствии с Концессионным соглашением объекты теплоснабжения, состав и описание, в том числе технико-экономические показатели, которых приведены в Приложении 2.1. </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Орган регулирования</w:t>
            </w:r>
          </w:p>
        </w:tc>
        <w:tc>
          <w:tcPr>
            <w:tcW w:w="5983" w:type="dxa"/>
          </w:tcPr>
          <w:p w:rsidR="006B6B42" w:rsidRPr="00212F97" w:rsidRDefault="006B6B42" w:rsidP="00C83DB7">
            <w:pPr>
              <w:widowControl w:val="0"/>
              <w:autoSpaceDE w:val="0"/>
              <w:autoSpaceDN w:val="0"/>
              <w:adjustRightInd w:val="0"/>
              <w:spacing w:after="120"/>
              <w:ind w:left="0" w:firstLine="0"/>
            </w:pPr>
            <w:r w:rsidRPr="00212F97">
              <w:t>орган исполнительной Субъекта РФ, осуществляющий регулирование цен (тарифов) в соответствии с законодательством.</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Основной долг</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сумму денежных средств, выданную Финансирующей организацией Концессионеру по Соглашению о финансировании.</w:t>
            </w:r>
          </w:p>
        </w:tc>
      </w:tr>
      <w:tr w:rsidR="006B6B42" w:rsidRPr="00212F97" w:rsidTr="00C83DB7">
        <w:tc>
          <w:tcPr>
            <w:tcW w:w="3362" w:type="dxa"/>
          </w:tcPr>
          <w:p w:rsidR="006B6B42" w:rsidRPr="00212F97" w:rsidRDefault="006B6B42" w:rsidP="00C83DB7">
            <w:pPr>
              <w:pStyle w:val="a6"/>
              <w:spacing w:after="120"/>
              <w:ind w:left="0" w:firstLine="0"/>
              <w:jc w:val="left"/>
              <w:rPr>
                <w:b/>
              </w:rPr>
            </w:pPr>
            <w:r w:rsidRPr="00212F97">
              <w:rPr>
                <w:b/>
              </w:rPr>
              <w:t>Основной долг по Акционерным займам</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сумму денежных средств, предоставленную Концессионеру его Инвесторами и (или) участниками в соответствии с Акционерными займами.</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Особое обстоятельство</w:t>
            </w:r>
          </w:p>
        </w:tc>
        <w:tc>
          <w:tcPr>
            <w:tcW w:w="5983" w:type="dxa"/>
          </w:tcPr>
          <w:p w:rsidR="006B6B42" w:rsidRPr="00212F97" w:rsidRDefault="006B6B42" w:rsidP="00920BDC">
            <w:pPr>
              <w:widowControl w:val="0"/>
              <w:autoSpaceDE w:val="0"/>
              <w:autoSpaceDN w:val="0"/>
              <w:adjustRightInd w:val="0"/>
              <w:spacing w:after="120"/>
              <w:ind w:left="0" w:firstLine="0"/>
            </w:pPr>
            <w:r w:rsidRPr="00212F97">
              <w:t>имеет значение, указанное в статье</w:t>
            </w:r>
            <w:r w:rsidR="00920BDC">
              <w:t xml:space="preserve"> 15</w:t>
            </w:r>
            <w:r w:rsidRPr="00212F97">
              <w:t>.</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bCs/>
              </w:rPr>
              <w:t>План устранения нарушений</w:t>
            </w:r>
          </w:p>
        </w:tc>
        <w:tc>
          <w:tcPr>
            <w:tcW w:w="5983" w:type="dxa"/>
          </w:tcPr>
          <w:p w:rsidR="006B6B42" w:rsidRPr="00212F97" w:rsidRDefault="006B6B42" w:rsidP="00920BDC">
            <w:pPr>
              <w:widowControl w:val="0"/>
              <w:tabs>
                <w:tab w:val="left" w:pos="720"/>
                <w:tab w:val="left" w:pos="1430"/>
              </w:tabs>
              <w:autoSpaceDE w:val="0"/>
              <w:autoSpaceDN w:val="0"/>
              <w:adjustRightInd w:val="0"/>
              <w:spacing w:after="120"/>
              <w:ind w:left="0" w:firstLine="0"/>
            </w:pPr>
            <w:r w:rsidRPr="00212F97">
              <w:rPr>
                <w:bCs/>
              </w:rPr>
              <w:t>имеет значение, указанное в пункте </w:t>
            </w:r>
            <w:r w:rsidR="00920BDC">
              <w:t>20.18</w:t>
            </w:r>
            <w:r w:rsidRPr="00212F97">
              <w:rPr>
                <w:bCs/>
              </w:rPr>
              <w:t>.</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Плановые значения показателей деятельности концессионера</w:t>
            </w:r>
          </w:p>
        </w:tc>
        <w:tc>
          <w:tcPr>
            <w:tcW w:w="5983" w:type="dxa"/>
          </w:tcPr>
          <w:p w:rsidR="006B6B42" w:rsidRPr="00212F97" w:rsidRDefault="006B6B42" w:rsidP="00C83DB7">
            <w:pPr>
              <w:widowControl w:val="0"/>
              <w:autoSpaceDE w:val="0"/>
              <w:autoSpaceDN w:val="0"/>
              <w:adjustRightInd w:val="0"/>
              <w:spacing w:after="120"/>
              <w:ind w:left="0" w:firstLine="0"/>
            </w:pPr>
            <w:r w:rsidRPr="00212F97">
              <w:t xml:space="preserve">означают показатели надежности и энергетической эффективности объектов теплоснабжения, входящих в состав Объекта соглашения, приведенные в Приложении 5, применяемые для определения степени исполнения обязательств Концессионера </w:t>
            </w:r>
            <w:proofErr w:type="gramStart"/>
            <w:r w:rsidRPr="00212F97">
              <w:t>по</w:t>
            </w:r>
            <w:proofErr w:type="gramEnd"/>
            <w:r w:rsidRPr="00212F97">
              <w:t xml:space="preserve"> </w:t>
            </w:r>
            <w:proofErr w:type="gramStart"/>
            <w:r w:rsidRPr="00212F97">
              <w:lastRenderedPageBreak/>
              <w:t>Реконструкцией</w:t>
            </w:r>
            <w:proofErr w:type="gramEnd"/>
            <w:r w:rsidRPr="00212F97">
              <w:t xml:space="preserve"> Объекта Соглашения, а также для целей регулирования Тарифов.</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lastRenderedPageBreak/>
              <w:t>Подготовка территории</w:t>
            </w:r>
          </w:p>
        </w:tc>
        <w:tc>
          <w:tcPr>
            <w:tcW w:w="5983" w:type="dxa"/>
          </w:tcPr>
          <w:p w:rsidR="006B6B42" w:rsidRPr="00212F97" w:rsidRDefault="006B6B42" w:rsidP="00920BDC">
            <w:pPr>
              <w:widowControl w:val="0"/>
              <w:autoSpaceDE w:val="0"/>
              <w:autoSpaceDN w:val="0"/>
              <w:adjustRightInd w:val="0"/>
              <w:spacing w:after="120"/>
              <w:ind w:left="0" w:firstLine="0"/>
            </w:pPr>
            <w:r w:rsidRPr="00212F97">
              <w:t>означает мероприятия по подготовке территории Земельных участков для целей Реконструкции Объекта соглашения, предусмотренные в пункте</w:t>
            </w:r>
            <w:r w:rsidR="00920BDC">
              <w:t xml:space="preserve"> 10.44</w:t>
            </w:r>
            <w:r w:rsidRPr="00212F97">
              <w:t>.</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Порядок разрешения споров</w:t>
            </w:r>
          </w:p>
        </w:tc>
        <w:tc>
          <w:tcPr>
            <w:tcW w:w="5983" w:type="dxa"/>
          </w:tcPr>
          <w:p w:rsidR="006B6B42" w:rsidRPr="00212F97" w:rsidRDefault="006B6B42" w:rsidP="00920BDC">
            <w:pPr>
              <w:widowControl w:val="0"/>
              <w:autoSpaceDE w:val="0"/>
              <w:autoSpaceDN w:val="0"/>
              <w:adjustRightInd w:val="0"/>
              <w:spacing w:after="120"/>
              <w:ind w:left="0" w:firstLine="0"/>
            </w:pPr>
            <w:r w:rsidRPr="00212F97">
              <w:t xml:space="preserve">означает процедуры, направленные на разрешение Споров по Проекту, </w:t>
            </w:r>
            <w:proofErr w:type="gramStart"/>
            <w:r w:rsidRPr="00212F97">
              <w:t>предусмотренный</w:t>
            </w:r>
            <w:proofErr w:type="gramEnd"/>
            <w:r w:rsidRPr="00212F97">
              <w:t xml:space="preserve"> статьей </w:t>
            </w:r>
            <w:r w:rsidR="00920BDC">
              <w:t>26</w:t>
            </w:r>
            <w:r w:rsidRPr="00212F97">
              <w:t>.</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Постановление № 603</w:t>
            </w:r>
          </w:p>
        </w:tc>
        <w:tc>
          <w:tcPr>
            <w:tcW w:w="5983" w:type="dxa"/>
          </w:tcPr>
          <w:p w:rsidR="006B6B42" w:rsidRPr="00212F97" w:rsidRDefault="006B6B42" w:rsidP="00C83DB7">
            <w:pPr>
              <w:widowControl w:val="0"/>
              <w:autoSpaceDE w:val="0"/>
              <w:autoSpaceDN w:val="0"/>
              <w:adjustRightInd w:val="0"/>
              <w:spacing w:after="120"/>
              <w:ind w:left="0" w:firstLine="0"/>
            </w:pPr>
            <w:proofErr w:type="gramStart"/>
            <w:r w:rsidRPr="00212F97">
              <w:t>Постановление Правительства РФ № 603 «О порядке расчета размера возмещения организациям, осуществляющим регулируемые виды деятельности в сферах обращения с твердыми коммунальными отходами, электроэнергетики, теплоснабжения, водоснабжения, водоотведения, недополученных доходов, связанных с осуществлением ими регулируемых видов деятельности, за счет средств бюджетов бюджетной системы Российской Федерации и определения размера компенсации за счет средств федерального бюджета расходов бюджета субъекта Российской Федерации или местного бюджета, возникших</w:t>
            </w:r>
            <w:proofErr w:type="gramEnd"/>
            <w:r w:rsidRPr="00212F97">
              <w:t xml:space="preserve"> в результате возмещения недополученных доходов» от 01 июля 2014 года.</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Потребитель</w:t>
            </w:r>
          </w:p>
        </w:tc>
        <w:tc>
          <w:tcPr>
            <w:tcW w:w="5983" w:type="dxa"/>
          </w:tcPr>
          <w:p w:rsidR="006B6B42" w:rsidRPr="00212F97" w:rsidRDefault="006B6B42" w:rsidP="00C83DB7">
            <w:pPr>
              <w:widowControl w:val="0"/>
              <w:autoSpaceDE w:val="0"/>
              <w:autoSpaceDN w:val="0"/>
              <w:adjustRightInd w:val="0"/>
              <w:spacing w:after="120"/>
              <w:ind w:left="0" w:firstLine="0"/>
            </w:pPr>
            <w:r w:rsidRPr="00212F97">
              <w:t xml:space="preserve">означает физическое или юридическое лицо, являющееся потребителем тепловой энергии </w:t>
            </w:r>
            <w:proofErr w:type="gramStart"/>
            <w:r w:rsidRPr="00212F97">
              <w:t>и(</w:t>
            </w:r>
            <w:proofErr w:type="gramEnd"/>
            <w:r w:rsidRPr="00212F97">
              <w:t>или) теплоносителя на территории, на которой осуществляется Концессионная деятельность.</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Приемочные испытания</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проверку и испытания результатов завершенных Работ, проводимых Концессионером в соответствии с Концессионным соглашением или Генеральным подрядчиком в соответствии с Договором подряда.</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Проект</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инвестиционный проект по выполнению Реконструкции и осуществлению Концессионной деятельности.</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Проектирование</w:t>
            </w:r>
          </w:p>
        </w:tc>
        <w:tc>
          <w:tcPr>
            <w:tcW w:w="5983" w:type="dxa"/>
          </w:tcPr>
          <w:p w:rsidR="006B6B42" w:rsidRPr="00212F97" w:rsidRDefault="006B6B42" w:rsidP="00C83DB7">
            <w:pPr>
              <w:widowControl w:val="0"/>
              <w:autoSpaceDE w:val="0"/>
              <w:autoSpaceDN w:val="0"/>
              <w:adjustRightInd w:val="0"/>
              <w:spacing w:after="120"/>
              <w:ind w:left="0" w:firstLine="0"/>
            </w:pPr>
            <w:r w:rsidRPr="00212F97">
              <w:rPr>
                <w:rFonts w:eastAsia="PMingLiU"/>
                <w:lang w:eastAsia="zh-TW"/>
              </w:rPr>
              <w:t>означает подготовку Проектной документации в отношении Объекта соглашения.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kern w:val="3"/>
                <w:lang w:eastAsia="ja-JP" w:bidi="fa-IR"/>
              </w:rPr>
              <w:t>Проектная документация</w:t>
            </w:r>
          </w:p>
        </w:tc>
        <w:tc>
          <w:tcPr>
            <w:tcW w:w="5983" w:type="dxa"/>
          </w:tcPr>
          <w:p w:rsidR="006B6B42" w:rsidRPr="00212F97" w:rsidRDefault="006B6B42" w:rsidP="00C83DB7">
            <w:pPr>
              <w:widowControl w:val="0"/>
              <w:autoSpaceDE w:val="0"/>
              <w:autoSpaceDN w:val="0"/>
              <w:adjustRightInd w:val="0"/>
              <w:spacing w:after="120"/>
              <w:ind w:left="0" w:firstLine="0"/>
            </w:pPr>
            <w:r w:rsidRPr="00212F97">
              <w:t xml:space="preserve">означает документацию, содержащую материалы в текстовой форме и в виде карт (схем) и </w:t>
            </w:r>
            <w:proofErr w:type="gramStart"/>
            <w:r w:rsidRPr="00212F97">
              <w:t>определяющая</w:t>
            </w:r>
            <w:proofErr w:type="gramEnd"/>
            <w:r w:rsidRPr="00212F97">
              <w:t xml:space="preserve"> архитектурные, функционально-технологические, конструктивные и инженерно-технические решения, необходимые и достаточные для Реконструкции Объекта соглашения.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Прямое соглашение</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соглашение, заключаемое Концессионером, Концедентом и Финансирующей организацией в целях определения прав и обязанностей сторон в связи с привлечением Заемных инвестиций в целях реализации Проекта.</w:t>
            </w:r>
          </w:p>
        </w:tc>
      </w:tr>
      <w:tr w:rsidR="006B6B42" w:rsidRPr="00212F97" w:rsidTr="00C83DB7">
        <w:tc>
          <w:tcPr>
            <w:tcW w:w="3362" w:type="dxa"/>
          </w:tcPr>
          <w:p w:rsidR="006B6B42" w:rsidRPr="00212F97" w:rsidRDefault="006B6B42" w:rsidP="00C83DB7">
            <w:pPr>
              <w:pStyle w:val="a6"/>
              <w:spacing w:after="120"/>
              <w:ind w:left="0" w:firstLine="0"/>
              <w:rPr>
                <w:b/>
                <w:kern w:val="3"/>
                <w:lang w:eastAsia="ja-JP" w:bidi="fa-IR"/>
              </w:rPr>
            </w:pPr>
            <w:r w:rsidRPr="00212F97">
              <w:rPr>
                <w:b/>
                <w:kern w:val="3"/>
                <w:lang w:eastAsia="ja-JP" w:bidi="fa-IR"/>
              </w:rPr>
              <w:t>Работы</w:t>
            </w:r>
          </w:p>
        </w:tc>
        <w:tc>
          <w:tcPr>
            <w:tcW w:w="5983" w:type="dxa"/>
          </w:tcPr>
          <w:p w:rsidR="006B6B42" w:rsidRPr="00212F97" w:rsidRDefault="006B6B42" w:rsidP="00C83DB7">
            <w:pPr>
              <w:widowControl w:val="0"/>
              <w:autoSpaceDE w:val="0"/>
              <w:autoSpaceDN w:val="0"/>
              <w:adjustRightInd w:val="0"/>
              <w:spacing w:after="120"/>
              <w:ind w:left="0" w:firstLine="0"/>
              <w:rPr>
                <w:kern w:val="3"/>
                <w:lang w:eastAsia="ja-JP" w:bidi="fa-IR"/>
              </w:rPr>
            </w:pPr>
            <w:r w:rsidRPr="00212F97">
              <w:rPr>
                <w:kern w:val="3"/>
                <w:lang w:eastAsia="ja-JP" w:bidi="fa-IR"/>
              </w:rPr>
              <w:t xml:space="preserve">означает комплекс мероприятий, выполняемых при Реконструкции зданий, строений, сооружений и включающий общестроительные, отделочные, </w:t>
            </w:r>
            <w:r w:rsidRPr="00212F97">
              <w:rPr>
                <w:kern w:val="3"/>
                <w:lang w:eastAsia="ja-JP" w:bidi="fa-IR"/>
              </w:rPr>
              <w:lastRenderedPageBreak/>
              <w:t>санитарно-технические, другие работы и мероприятия.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kern w:val="3"/>
                <w:lang w:eastAsia="ja-JP" w:bidi="fa-IR"/>
              </w:rPr>
              <w:lastRenderedPageBreak/>
              <w:t>Рабочая документация</w:t>
            </w:r>
          </w:p>
        </w:tc>
        <w:tc>
          <w:tcPr>
            <w:tcW w:w="5983" w:type="dxa"/>
          </w:tcPr>
          <w:p w:rsidR="006B6B42" w:rsidRPr="00212F97" w:rsidRDefault="006B6B42" w:rsidP="00C83DB7">
            <w:pPr>
              <w:widowControl w:val="0"/>
              <w:autoSpaceDE w:val="0"/>
              <w:autoSpaceDN w:val="0"/>
              <w:adjustRightInd w:val="0"/>
              <w:spacing w:after="120"/>
              <w:ind w:left="0" w:firstLine="0"/>
            </w:pPr>
            <w:r w:rsidRPr="00212F97">
              <w:rPr>
                <w:kern w:val="3"/>
                <w:lang w:eastAsia="ja-JP" w:bidi="fa-IR"/>
              </w:rPr>
              <w:t xml:space="preserve">означает документацию, содержащую уточнения и детализацию отдельных положений Проектной документации, в том числе пояснительную записку, рабочие чертежи, графические материалы, рабочие материалы и спецификации в соответствии с Проектной документацией, и </w:t>
            </w:r>
            <w:proofErr w:type="gramStart"/>
            <w:r w:rsidRPr="00212F97">
              <w:rPr>
                <w:kern w:val="3"/>
                <w:lang w:eastAsia="ja-JP" w:bidi="fa-IR"/>
              </w:rPr>
              <w:t>содержащая</w:t>
            </w:r>
            <w:proofErr w:type="gramEnd"/>
            <w:r w:rsidRPr="00212F97">
              <w:rPr>
                <w:kern w:val="3"/>
                <w:lang w:eastAsia="ja-JP" w:bidi="fa-IR"/>
              </w:rPr>
              <w:t xml:space="preserve"> более углубленное и детализированное изложение разделов Проектной документации.</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rFonts w:eastAsia="MS Mincho"/>
                <w:b/>
              </w:rPr>
              <w:t>Разрешения</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разрешения, в том числе, Разрешение на ввод в эксплуатацию, согласования, допуски и лицензии (включая разрешения, согласования и лицензии в отношении Лиц, относящихся к концессионеру), необходимые в соответствии с законодательством для исполнения Концессионером и Лицами, относящимися к концессионеру, обязательств Концессионера по Концессионному соглашению</w:t>
            </w:r>
            <w:r w:rsidRPr="00212F97">
              <w:rPr>
                <w:rFonts w:eastAsia="MS Mincho"/>
              </w:rPr>
              <w:t>.</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Расходы на демобилизацию</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расходы на демобилизацию строительной техники и оборудования, определенные на основании сметной стоимости.</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Расходы на консервацию</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расходы на работы по консервации Объекта соглашения, выполненные Концессионером в соответствии с требованиями Законодательства и по согласованию с Концедентом, включая работы по приведению недостроенных сооружений (конструкций) в надлежащее состояние с точки зрения обеспечения надежности, долговечности, безопасности и охраны окружающей среды.</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Расчетный период</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каждый период (календарные квартал, полугодие, год, в зависимости от обстоятельств), на который доступны фактические показатели или в отношении которого осуществляются расчеты каких-либо платежей.</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Реконструкция</w:t>
            </w:r>
          </w:p>
        </w:tc>
        <w:tc>
          <w:tcPr>
            <w:tcW w:w="5983" w:type="dxa"/>
          </w:tcPr>
          <w:p w:rsidR="006B6B42" w:rsidRPr="00212F97" w:rsidRDefault="006B6B42" w:rsidP="003C1AFD">
            <w:pPr>
              <w:widowControl w:val="0"/>
              <w:autoSpaceDE w:val="0"/>
              <w:autoSpaceDN w:val="0"/>
              <w:adjustRightInd w:val="0"/>
              <w:spacing w:after="120"/>
              <w:ind w:left="0" w:firstLine="0"/>
            </w:pPr>
            <w:r w:rsidRPr="00212F97">
              <w:t>означает совокупность мероприятий, предусмотренных пунктом.</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Собственные инвестиции</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финансирование, привлеченное Концессионером у Инвесторов в форме вкладов в имущество Концессионера или приобретения долей Концессионера или в форме Акционерных займов.</w:t>
            </w:r>
          </w:p>
        </w:tc>
      </w:tr>
      <w:tr w:rsidR="006B6B42" w:rsidRPr="00212F97" w:rsidTr="00C83DB7">
        <w:tc>
          <w:tcPr>
            <w:tcW w:w="3362" w:type="dxa"/>
          </w:tcPr>
          <w:p w:rsidR="006B6B42" w:rsidRPr="00212F97" w:rsidRDefault="006B6B42" w:rsidP="00C83DB7">
            <w:pPr>
              <w:pStyle w:val="a6"/>
              <w:spacing w:after="120"/>
              <w:ind w:left="0" w:firstLine="0"/>
              <w:jc w:val="left"/>
              <w:rPr>
                <w:b/>
              </w:rPr>
            </w:pPr>
            <w:r w:rsidRPr="00212F97">
              <w:rPr>
                <w:b/>
              </w:rPr>
              <w:t>Соглашения о финансировании</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любые соглашения между Финансирующей организацией и Концессионером о предоставлении Концессионеру заемного финансирования для исполнения последним своих обязательств по Концессионному соглашению.</w:t>
            </w:r>
          </w:p>
        </w:tc>
      </w:tr>
      <w:tr w:rsidR="006B6B42" w:rsidRPr="00212F97" w:rsidTr="00C83DB7">
        <w:tc>
          <w:tcPr>
            <w:tcW w:w="3362" w:type="dxa"/>
            <w:tcBorders>
              <w:bottom w:val="single" w:sz="4" w:space="0" w:color="auto"/>
            </w:tcBorders>
          </w:tcPr>
          <w:p w:rsidR="006B6B42" w:rsidRPr="00212F97" w:rsidRDefault="006B6B42" w:rsidP="00C83DB7">
            <w:pPr>
              <w:pStyle w:val="a6"/>
              <w:spacing w:after="120"/>
              <w:ind w:left="0" w:firstLine="0"/>
              <w:rPr>
                <w:b/>
              </w:rPr>
            </w:pPr>
            <w:r w:rsidRPr="00212F97">
              <w:rPr>
                <w:b/>
              </w:rPr>
              <w:t>Сокращение выручки</w:t>
            </w:r>
          </w:p>
        </w:tc>
        <w:tc>
          <w:tcPr>
            <w:tcW w:w="5983" w:type="dxa"/>
            <w:tcBorders>
              <w:bottom w:val="single" w:sz="4" w:space="0" w:color="auto"/>
            </w:tcBorders>
          </w:tcPr>
          <w:p w:rsidR="006B6B42" w:rsidRPr="00212F97" w:rsidRDefault="006B6B42" w:rsidP="00C83DB7">
            <w:pPr>
              <w:widowControl w:val="0"/>
              <w:autoSpaceDE w:val="0"/>
              <w:autoSpaceDN w:val="0"/>
              <w:adjustRightInd w:val="0"/>
              <w:spacing w:after="120"/>
              <w:ind w:left="0" w:firstLine="0"/>
            </w:pPr>
            <w:r w:rsidRPr="00212F97">
              <w:t>означает убытки и (или) потери Концессионера, связанные со снижением уровня выручки, которую Концессионер получил бы или должен был получить, если бы Особое обстоятельство не наступило.</w:t>
            </w:r>
          </w:p>
        </w:tc>
      </w:tr>
      <w:tr w:rsidR="006B6B42" w:rsidRPr="00212F97" w:rsidTr="00C83DB7">
        <w:tc>
          <w:tcPr>
            <w:tcW w:w="3362" w:type="dxa"/>
            <w:tcBorders>
              <w:bottom w:val="single" w:sz="4" w:space="0" w:color="auto"/>
            </w:tcBorders>
          </w:tcPr>
          <w:p w:rsidR="006B6B42" w:rsidRPr="00212F97" w:rsidRDefault="006B6B42" w:rsidP="00C83DB7">
            <w:pPr>
              <w:pStyle w:val="a6"/>
              <w:spacing w:after="120"/>
              <w:ind w:left="0" w:firstLine="0"/>
              <w:rPr>
                <w:b/>
              </w:rPr>
            </w:pPr>
            <w:r w:rsidRPr="00212F97">
              <w:rPr>
                <w:b/>
              </w:rPr>
              <w:t>Сторона</w:t>
            </w:r>
          </w:p>
        </w:tc>
        <w:tc>
          <w:tcPr>
            <w:tcW w:w="5983" w:type="dxa"/>
            <w:tcBorders>
              <w:bottom w:val="single" w:sz="4" w:space="0" w:color="auto"/>
            </w:tcBorders>
          </w:tcPr>
          <w:p w:rsidR="006B6B42" w:rsidRPr="00212F97" w:rsidRDefault="006B6B42" w:rsidP="00C83DB7">
            <w:pPr>
              <w:widowControl w:val="0"/>
              <w:autoSpaceDE w:val="0"/>
              <w:autoSpaceDN w:val="0"/>
              <w:adjustRightInd w:val="0"/>
              <w:spacing w:after="120"/>
              <w:ind w:left="0" w:firstLine="0"/>
            </w:pPr>
            <w:r w:rsidRPr="00212F97">
              <w:t xml:space="preserve">означает каждое из следующих лиц: </w:t>
            </w:r>
            <w:r w:rsidRPr="00212F97">
              <w:rPr>
                <w:bCs/>
              </w:rPr>
              <w:t xml:space="preserve">Концессионер, </w:t>
            </w:r>
            <w:r w:rsidRPr="00212F97">
              <w:rPr>
                <w:bCs/>
              </w:rPr>
              <w:lastRenderedPageBreak/>
              <w:t xml:space="preserve">Концедент и </w:t>
            </w:r>
            <w:r w:rsidRPr="00212F97">
              <w:t>Субъект РФ.</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lastRenderedPageBreak/>
              <w:t>Сумма основного долга</w:t>
            </w:r>
          </w:p>
        </w:tc>
        <w:tc>
          <w:tcPr>
            <w:tcW w:w="5983" w:type="dxa"/>
          </w:tcPr>
          <w:p w:rsidR="006B6B42" w:rsidRPr="00212F97" w:rsidRDefault="006B6B42" w:rsidP="00C83DB7">
            <w:pPr>
              <w:spacing w:after="120"/>
              <w:ind w:left="0" w:firstLine="0"/>
            </w:pPr>
            <w:r w:rsidRPr="00212F97">
              <w:t xml:space="preserve">означает сумму, состоящую </w:t>
            </w:r>
            <w:proofErr w:type="gramStart"/>
            <w:r w:rsidRPr="00212F97">
              <w:t>из</w:t>
            </w:r>
            <w:proofErr w:type="gramEnd"/>
            <w:r w:rsidRPr="00212F97">
              <w:t>:</w:t>
            </w:r>
          </w:p>
          <w:p w:rsidR="006B6B42" w:rsidRPr="00212F97" w:rsidRDefault="006B6B42" w:rsidP="006B6B42">
            <w:pPr>
              <w:widowControl w:val="0"/>
              <w:numPr>
                <w:ilvl w:val="0"/>
                <w:numId w:val="4"/>
              </w:numPr>
              <w:autoSpaceDE w:val="0"/>
              <w:autoSpaceDN w:val="0"/>
              <w:adjustRightInd w:val="0"/>
              <w:spacing w:after="120"/>
              <w:ind w:left="601" w:hanging="567"/>
            </w:pPr>
            <w:r w:rsidRPr="00212F97">
              <w:t>суммы ссудной задолженности по Соглашениям о финансировании, начисленных на нее процентов, комиссионных, агентских и иных платежей, прямо предусмотренных Соглашениями о финансировании и не выплаченных Концессионером в пользу Финансирующей организации по всем Соглашениям о финансировании на Дату прекращения концессионного соглашения;</w:t>
            </w:r>
          </w:p>
          <w:p w:rsidR="006B6B42" w:rsidRPr="00212F97" w:rsidRDefault="006B6B42" w:rsidP="006B6B42">
            <w:pPr>
              <w:widowControl w:val="0"/>
              <w:numPr>
                <w:ilvl w:val="0"/>
                <w:numId w:val="4"/>
              </w:numPr>
              <w:autoSpaceDE w:val="0"/>
              <w:autoSpaceDN w:val="0"/>
              <w:adjustRightInd w:val="0"/>
              <w:spacing w:after="120"/>
              <w:ind w:left="601" w:hanging="567"/>
            </w:pPr>
            <w:r w:rsidRPr="00212F97">
              <w:t>всех сумм, подлежащих уплате Концессионером в пользу Финансирующей организации по Соглашениям о финансировании, включая (</w:t>
            </w:r>
            <w:proofErr w:type="gramStart"/>
            <w:r w:rsidRPr="00212F97">
              <w:t>но</w:t>
            </w:r>
            <w:proofErr w:type="gramEnd"/>
            <w:r w:rsidRPr="00212F97">
              <w:t xml:space="preserve"> не ограничиваясь) расходы, связанные с досрочным прекращением Соглашений о финансировании в связи с досрочным прекращением Концессионного соглашения.</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Схема теплоснабжения</w:t>
            </w:r>
          </w:p>
        </w:tc>
        <w:tc>
          <w:tcPr>
            <w:tcW w:w="5983" w:type="dxa"/>
          </w:tcPr>
          <w:p w:rsidR="006B6B42" w:rsidRPr="00212F97" w:rsidRDefault="006B6B42" w:rsidP="00C83DB7">
            <w:pPr>
              <w:widowControl w:val="0"/>
              <w:autoSpaceDE w:val="0"/>
              <w:autoSpaceDN w:val="0"/>
              <w:adjustRightInd w:val="0"/>
              <w:spacing w:after="120"/>
              <w:ind w:left="0" w:firstLine="0"/>
            </w:pPr>
            <w:r w:rsidRPr="00212F97">
              <w:t xml:space="preserve">схема теплоснабжения Каменского </w:t>
            </w:r>
            <w:r>
              <w:t>городского округа</w:t>
            </w:r>
            <w:r w:rsidRPr="00212F97">
              <w:t>, действующая на дату объявления конкурса, по результатам которого (в том числе в случае признания несостоявшимся) заключено Концессионного соглашение.</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Тарифная выручка</w:t>
            </w:r>
          </w:p>
        </w:tc>
        <w:tc>
          <w:tcPr>
            <w:tcW w:w="5983" w:type="dxa"/>
          </w:tcPr>
          <w:p w:rsidR="006B6B42" w:rsidRPr="00212F97" w:rsidRDefault="006B6B42" w:rsidP="00C83DB7">
            <w:pPr>
              <w:widowControl w:val="0"/>
              <w:autoSpaceDE w:val="0"/>
              <w:autoSpaceDN w:val="0"/>
              <w:adjustRightInd w:val="0"/>
              <w:spacing w:after="120"/>
              <w:ind w:left="0" w:firstLine="0"/>
            </w:pPr>
            <w:r w:rsidRPr="00212F97">
              <w:t xml:space="preserve">означает выручку, </w:t>
            </w:r>
            <w:proofErr w:type="gramStart"/>
            <w:r w:rsidRPr="00212F97">
              <w:t>получаемая</w:t>
            </w:r>
            <w:proofErr w:type="gramEnd"/>
            <w:r w:rsidRPr="00212F97">
              <w:t xml:space="preserve"> Концессионером в процессе Концессионной деятельности от оказания услуг по регулируемым ценам (Тарифам).</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Тарифы</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регулируемые цены (тарифы) на услуги теплоснабжения и (или поставки теплоносителя) [</w:t>
            </w:r>
            <w:r w:rsidRPr="00212F97">
              <w:rPr>
                <w:i/>
              </w:rPr>
              <w:t>и горячего водоснабжения</w:t>
            </w:r>
            <w:r w:rsidRPr="00212F97">
              <w:t>], оказываемые Концессионером в рамках Концессионной деятельности, устанавливаемые в соответствии с Долгосрочными параметрами регулирования.</w:t>
            </w:r>
          </w:p>
        </w:tc>
      </w:tr>
      <w:tr w:rsidR="006B6B42" w:rsidRPr="00212F97" w:rsidTr="00C83DB7">
        <w:tc>
          <w:tcPr>
            <w:tcW w:w="3362" w:type="dxa"/>
            <w:tcBorders>
              <w:bottom w:val="single" w:sz="4" w:space="0" w:color="auto"/>
            </w:tcBorders>
          </w:tcPr>
          <w:p w:rsidR="006B6B42" w:rsidRPr="00212F97" w:rsidRDefault="006B6B42" w:rsidP="00C83DB7">
            <w:pPr>
              <w:pStyle w:val="a6"/>
              <w:spacing w:after="120"/>
              <w:ind w:left="0" w:firstLine="0"/>
              <w:rPr>
                <w:b/>
              </w:rPr>
            </w:pPr>
            <w:r w:rsidRPr="00212F97">
              <w:rPr>
                <w:b/>
              </w:rPr>
              <w:t>Уведомление</w:t>
            </w:r>
          </w:p>
        </w:tc>
        <w:tc>
          <w:tcPr>
            <w:tcW w:w="5983" w:type="dxa"/>
            <w:tcBorders>
              <w:bottom w:val="single" w:sz="4" w:space="0" w:color="auto"/>
            </w:tcBorders>
          </w:tcPr>
          <w:p w:rsidR="006B6B42" w:rsidRPr="00212F97" w:rsidRDefault="006B6B42" w:rsidP="00C83DB7">
            <w:pPr>
              <w:widowControl w:val="0"/>
              <w:autoSpaceDE w:val="0"/>
              <w:autoSpaceDN w:val="0"/>
              <w:adjustRightInd w:val="0"/>
              <w:spacing w:after="120"/>
              <w:ind w:left="0" w:firstLine="0"/>
            </w:pPr>
            <w:r w:rsidRPr="00212F97">
              <w:t xml:space="preserve">означает любое уведомление, заявление, сообщение, иные документы и </w:t>
            </w:r>
            <w:proofErr w:type="gramStart"/>
            <w:r w:rsidRPr="00212F97">
              <w:t>информация</w:t>
            </w:r>
            <w:proofErr w:type="gramEnd"/>
            <w:r w:rsidRPr="00212F97">
              <w:t xml:space="preserve"> направленные на информирование одной Стороной другой Стороны или Сторон по вопросам, связанным с Концессионным соглашением.</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kern w:val="3"/>
                <w:lang w:eastAsia="ja-JP" w:bidi="fa-IR"/>
              </w:rPr>
              <w:t>Финансирующая организация</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кредитную организацию, предоставляющую Концессионеру Заемные инвестиции для финансирования Проекта.</w:t>
            </w:r>
          </w:p>
        </w:tc>
      </w:tr>
      <w:tr w:rsidR="006B6B42" w:rsidRPr="00212F97" w:rsidTr="00C83DB7">
        <w:tc>
          <w:tcPr>
            <w:tcW w:w="3362" w:type="dxa"/>
          </w:tcPr>
          <w:p w:rsidR="006B6B42" w:rsidRPr="00212F97" w:rsidRDefault="006B6B42" w:rsidP="00C83DB7">
            <w:pPr>
              <w:pStyle w:val="a6"/>
              <w:spacing w:after="120"/>
              <w:ind w:left="0" w:firstLine="0"/>
              <w:rPr>
                <w:b/>
                <w:kern w:val="3"/>
                <w:lang w:eastAsia="ja-JP" w:bidi="fa-IR"/>
              </w:rPr>
            </w:pPr>
            <w:r w:rsidRPr="00212F97">
              <w:rPr>
                <w:rFonts w:eastAsia="Andale Sans UI"/>
                <w:b/>
                <w:kern w:val="3"/>
                <w:lang w:eastAsia="ja-JP" w:bidi="fa-IR"/>
              </w:rPr>
              <w:t>Финансовое закрытие</w:t>
            </w:r>
          </w:p>
        </w:tc>
        <w:tc>
          <w:tcPr>
            <w:tcW w:w="5983" w:type="dxa"/>
          </w:tcPr>
          <w:p w:rsidR="006B6B42" w:rsidRPr="00212F97" w:rsidRDefault="006B6B42" w:rsidP="00C83DB7">
            <w:pPr>
              <w:widowControl w:val="0"/>
              <w:autoSpaceDE w:val="0"/>
              <w:autoSpaceDN w:val="0"/>
              <w:adjustRightInd w:val="0"/>
              <w:spacing w:after="120"/>
              <w:ind w:left="0" w:firstLine="0"/>
            </w:pPr>
            <w:r w:rsidRPr="00212F97">
              <w:t>означает подписание Сторонами Акта финансового закрытия, подтверждающего наличие у Концессионера финансовых ресурсов в объеме, необходимом для исполнения Концессионером финансовых обязательств по Концессионному соглашению.</w:t>
            </w:r>
          </w:p>
        </w:tc>
      </w:tr>
      <w:tr w:rsidR="006B6B42" w:rsidRPr="00212F97" w:rsidTr="00C83DB7">
        <w:tc>
          <w:tcPr>
            <w:tcW w:w="3362" w:type="dxa"/>
          </w:tcPr>
          <w:p w:rsidR="006B6B42" w:rsidRPr="00212F97" w:rsidRDefault="006B6B42" w:rsidP="00C83DB7">
            <w:pPr>
              <w:pStyle w:val="a6"/>
              <w:spacing w:after="120"/>
              <w:ind w:left="0" w:firstLine="0"/>
              <w:rPr>
                <w:b/>
              </w:rPr>
            </w:pPr>
            <w:r w:rsidRPr="00212F97">
              <w:rPr>
                <w:b/>
              </w:rPr>
              <w:t>Экспертиза</w:t>
            </w:r>
          </w:p>
        </w:tc>
        <w:tc>
          <w:tcPr>
            <w:tcW w:w="5983" w:type="dxa"/>
          </w:tcPr>
          <w:p w:rsidR="006B6B42" w:rsidRPr="00212F97" w:rsidRDefault="006B6B42" w:rsidP="00C83DB7">
            <w:pPr>
              <w:pStyle w:val="a6"/>
              <w:spacing w:after="120"/>
              <w:ind w:left="0" w:firstLine="0"/>
            </w:pPr>
            <w:r w:rsidRPr="00212F97">
              <w:t>означает государственную экспертизу Проектной документации, осуществляемую в соответствии с Градостроительным кодексом Российской Федерации и иными положениями законодательства.</w:t>
            </w:r>
          </w:p>
        </w:tc>
      </w:tr>
      <w:tr w:rsidR="006B6B42" w:rsidRPr="00212F97" w:rsidTr="00C83DB7">
        <w:tc>
          <w:tcPr>
            <w:tcW w:w="3362" w:type="dxa"/>
          </w:tcPr>
          <w:p w:rsidR="006B6B42" w:rsidRPr="00212F97" w:rsidRDefault="006B6B42" w:rsidP="00C83DB7">
            <w:pPr>
              <w:pStyle w:val="a6"/>
              <w:spacing w:after="120"/>
              <w:ind w:left="0" w:firstLine="0"/>
              <w:rPr>
                <w:b/>
              </w:rPr>
            </w:pPr>
            <w:r>
              <w:rPr>
                <w:b/>
              </w:rPr>
              <w:lastRenderedPageBreak/>
              <w:t>Эксплуатация</w:t>
            </w:r>
          </w:p>
        </w:tc>
        <w:tc>
          <w:tcPr>
            <w:tcW w:w="5983" w:type="dxa"/>
          </w:tcPr>
          <w:p w:rsidR="006B6B42" w:rsidRPr="00212F97" w:rsidRDefault="006B6B42" w:rsidP="00C83DB7">
            <w:pPr>
              <w:pStyle w:val="a6"/>
              <w:spacing w:after="120"/>
              <w:ind w:left="0" w:firstLine="0"/>
            </w:pPr>
            <w:r>
              <w:t>означает Концессионную деятельность</w:t>
            </w:r>
          </w:p>
        </w:tc>
      </w:tr>
    </w:tbl>
    <w:p w:rsidR="006B6B42" w:rsidRPr="00212F97" w:rsidRDefault="006B6B42" w:rsidP="006B6B42">
      <w:pPr>
        <w:pStyle w:val="a6"/>
        <w:numPr>
          <w:ilvl w:val="0"/>
          <w:numId w:val="2"/>
        </w:numPr>
        <w:spacing w:before="240" w:after="120"/>
        <w:ind w:left="851" w:hanging="851"/>
      </w:pPr>
      <w:r w:rsidRPr="00212F97">
        <w:t>Если иное не следует из контекста, в Концессионном соглашении:</w:t>
      </w:r>
    </w:p>
    <w:p w:rsidR="006B6B42" w:rsidRPr="00212F97" w:rsidRDefault="006B6B42" w:rsidP="006B6B42">
      <w:pPr>
        <w:pStyle w:val="a"/>
        <w:spacing w:after="120"/>
        <w:ind w:left="1418" w:hanging="567"/>
        <w:rPr>
          <w:lang w:eastAsia="ru-RU"/>
        </w:rPr>
      </w:pPr>
      <w:r w:rsidRPr="00212F97">
        <w:rPr>
          <w:lang w:eastAsia="ru-RU"/>
        </w:rPr>
        <w:t>слова и выражения, использованные в единственном числе, также подразумевают такие слова и выражения во множественном числе и наоборот;</w:t>
      </w:r>
    </w:p>
    <w:p w:rsidR="006B6B42" w:rsidRPr="00212F97" w:rsidRDefault="006B6B42" w:rsidP="006B6B42">
      <w:pPr>
        <w:pStyle w:val="a"/>
        <w:spacing w:after="120"/>
        <w:ind w:left="1418" w:hanging="567"/>
        <w:rPr>
          <w:lang w:eastAsia="ru-RU"/>
        </w:rPr>
      </w:pPr>
      <w:r w:rsidRPr="00212F97">
        <w:rPr>
          <w:lang w:eastAsia="ru-RU"/>
        </w:rPr>
        <w:t>любые указания на род подразумевают также указания на любые иные рода;</w:t>
      </w:r>
    </w:p>
    <w:p w:rsidR="006B6B42" w:rsidRPr="00212F97" w:rsidRDefault="006B6B42" w:rsidP="006B6B42">
      <w:pPr>
        <w:pStyle w:val="a"/>
        <w:spacing w:after="120"/>
        <w:ind w:left="1418" w:hanging="567"/>
        <w:rPr>
          <w:lang w:eastAsia="ru-RU"/>
        </w:rPr>
      </w:pPr>
      <w:r w:rsidRPr="00212F97">
        <w:rPr>
          <w:lang w:eastAsia="ru-RU"/>
        </w:rPr>
        <w:t>любые ссылки на пункты и Приложения означают ссылки на пункты Концессионного соглашения и Приложения к нему, если иное не следует из контекста;</w:t>
      </w:r>
    </w:p>
    <w:p w:rsidR="006B6B42" w:rsidRPr="00212F97" w:rsidRDefault="006B6B42" w:rsidP="006B6B42">
      <w:pPr>
        <w:pStyle w:val="a"/>
        <w:spacing w:after="120"/>
        <w:ind w:left="1418" w:hanging="567"/>
        <w:rPr>
          <w:lang w:eastAsia="ru-RU"/>
        </w:rPr>
      </w:pPr>
      <w:r w:rsidRPr="00212F97">
        <w:rPr>
          <w:lang w:eastAsia="ru-RU"/>
        </w:rPr>
        <w:t>любая ссылка на какое-либо лицо подразумевает также его правопреемников или разрешенных цессионариев;</w:t>
      </w:r>
    </w:p>
    <w:p w:rsidR="006B6B42" w:rsidRPr="00212F97" w:rsidRDefault="006B6B42" w:rsidP="006B6B42">
      <w:pPr>
        <w:pStyle w:val="a"/>
        <w:spacing w:after="120"/>
        <w:ind w:left="1418" w:hanging="567"/>
        <w:rPr>
          <w:lang w:eastAsia="ru-RU"/>
        </w:rPr>
      </w:pPr>
      <w:r w:rsidRPr="00212F97">
        <w:rPr>
          <w:lang w:eastAsia="ru-RU"/>
        </w:rPr>
        <w:t>слова «включает» и «включая» означает, что следующий за ними перечень не является исчерпывающим.</w:t>
      </w:r>
    </w:p>
    <w:tbl>
      <w:tblPr>
        <w:tblW w:w="9356" w:type="dxa"/>
        <w:tblInd w:w="-34" w:type="dxa"/>
        <w:tblLook w:val="04A0" w:firstRow="1" w:lastRow="0" w:firstColumn="1" w:lastColumn="0" w:noHBand="0" w:noVBand="1"/>
      </w:tblPr>
      <w:tblGrid>
        <w:gridCol w:w="4537"/>
        <w:gridCol w:w="4819"/>
      </w:tblGrid>
      <w:tr w:rsidR="006B6B42" w:rsidRPr="00212F97" w:rsidTr="00C83DB7">
        <w:tc>
          <w:tcPr>
            <w:tcW w:w="9356" w:type="dxa"/>
            <w:gridSpan w:val="2"/>
          </w:tcPr>
          <w:p w:rsidR="006B6B42" w:rsidRPr="00212F97" w:rsidRDefault="006B6B42" w:rsidP="00C83DB7">
            <w:pPr>
              <w:spacing w:after="120"/>
              <w:rPr>
                <w:b/>
              </w:rPr>
            </w:pPr>
            <w:r w:rsidRPr="00212F97">
              <w:rPr>
                <w:b/>
              </w:rPr>
              <w:t>ПОДПИСИ СТОРОН</w:t>
            </w:r>
          </w:p>
        </w:tc>
      </w:tr>
      <w:tr w:rsidR="006B6B42" w:rsidRPr="00212F97" w:rsidTr="00C83DB7">
        <w:tc>
          <w:tcPr>
            <w:tcW w:w="4537" w:type="dxa"/>
          </w:tcPr>
          <w:p w:rsidR="006B6B42" w:rsidRPr="00212F97" w:rsidRDefault="006B6B42" w:rsidP="00C83DB7">
            <w:pPr>
              <w:spacing w:after="120"/>
              <w:rPr>
                <w:b/>
              </w:rPr>
            </w:pPr>
            <w:r w:rsidRPr="00972B28">
              <w:rPr>
                <w:b/>
                <w:iCs/>
              </w:rPr>
              <w:t>Свердловская область</w:t>
            </w:r>
          </w:p>
        </w:tc>
        <w:tc>
          <w:tcPr>
            <w:tcW w:w="4819" w:type="dxa"/>
          </w:tcPr>
          <w:p w:rsidR="006B6B42" w:rsidRPr="00212F97" w:rsidRDefault="006B6B42" w:rsidP="00C83DB7">
            <w:pPr>
              <w:keepNext/>
              <w:keepLines/>
              <w:widowControl w:val="0"/>
              <w:autoSpaceDE w:val="0"/>
              <w:autoSpaceDN w:val="0"/>
              <w:adjustRightInd w:val="0"/>
              <w:spacing w:after="120"/>
              <w:jc w:val="both"/>
              <w:rPr>
                <w:b/>
                <w:bCs/>
              </w:rPr>
            </w:pPr>
            <w:r w:rsidRPr="00212F97">
              <w:rPr>
                <w:b/>
              </w:rPr>
              <w:t>Концедент</w:t>
            </w:r>
          </w:p>
        </w:tc>
      </w:tr>
      <w:tr w:rsidR="006B6B42" w:rsidRPr="00212F97" w:rsidTr="00C83DB7">
        <w:tc>
          <w:tcPr>
            <w:tcW w:w="4537" w:type="dxa"/>
            <w:hideMark/>
          </w:tcPr>
          <w:p w:rsidR="006B6B42" w:rsidRPr="00212F97" w:rsidRDefault="006B6B42" w:rsidP="00C83DB7">
            <w:pPr>
              <w:spacing w:after="120"/>
            </w:pPr>
            <w:r w:rsidRPr="00212F97">
              <w:t>[</w:t>
            </w:r>
            <w:r w:rsidRPr="00212F97">
              <w:rPr>
                <w:i/>
              </w:rPr>
              <w:t>Высшее должностное лицо (руководитель высшего исполнительного органа государственной власти субъекта РФ)</w:t>
            </w:r>
            <w:r w:rsidRPr="00212F97">
              <w:t>]</w:t>
            </w:r>
          </w:p>
        </w:tc>
        <w:tc>
          <w:tcPr>
            <w:tcW w:w="4819" w:type="dxa"/>
          </w:tcPr>
          <w:p w:rsidR="006B6B42" w:rsidRPr="00212F97" w:rsidRDefault="006B6B42" w:rsidP="00C83DB7">
            <w:pPr>
              <w:keepNext/>
              <w:keepLines/>
              <w:widowControl w:val="0"/>
              <w:autoSpaceDE w:val="0"/>
              <w:autoSpaceDN w:val="0"/>
              <w:adjustRightInd w:val="0"/>
              <w:spacing w:after="120"/>
              <w:jc w:val="both"/>
              <w:rPr>
                <w:b/>
              </w:rPr>
            </w:pPr>
            <w:r w:rsidRPr="00212F97">
              <w:t>[</w:t>
            </w:r>
            <w:r w:rsidRPr="00212F97">
              <w:rPr>
                <w:i/>
              </w:rPr>
              <w:t>Уполномоченное лицо Концедента</w:t>
            </w:r>
            <w:r w:rsidRPr="00212F97">
              <w:t>]</w:t>
            </w:r>
          </w:p>
        </w:tc>
      </w:tr>
      <w:tr w:rsidR="006B6B42" w:rsidRPr="00212F97" w:rsidTr="00C83DB7">
        <w:tc>
          <w:tcPr>
            <w:tcW w:w="4537" w:type="dxa"/>
          </w:tcPr>
          <w:p w:rsidR="006B6B42" w:rsidRPr="00212F97" w:rsidRDefault="006B6B42" w:rsidP="00C83DB7">
            <w:pPr>
              <w:spacing w:after="120"/>
            </w:pPr>
          </w:p>
          <w:p w:rsidR="006B6B42" w:rsidRPr="00212F97" w:rsidRDefault="006B6B42" w:rsidP="00C83DB7">
            <w:pPr>
              <w:spacing w:after="120"/>
            </w:pPr>
          </w:p>
          <w:p w:rsidR="006B6B42" w:rsidRPr="00212F97" w:rsidRDefault="006B6B42" w:rsidP="00C83DB7">
            <w:pPr>
              <w:spacing w:after="120"/>
            </w:pPr>
            <w:r w:rsidRPr="00212F97">
              <w:t>_____________________/ [***] /</w:t>
            </w:r>
          </w:p>
          <w:p w:rsidR="006B6B42" w:rsidRPr="00212F97" w:rsidRDefault="006B6B42" w:rsidP="00C83DB7">
            <w:pPr>
              <w:spacing w:after="120"/>
            </w:pPr>
            <w:r w:rsidRPr="00212F97">
              <w:t>М.П.</w:t>
            </w:r>
          </w:p>
          <w:p w:rsidR="006B6B42" w:rsidRPr="00212F97" w:rsidRDefault="006B6B42" w:rsidP="00C83DB7">
            <w:pPr>
              <w:spacing w:after="120"/>
            </w:pPr>
          </w:p>
        </w:tc>
        <w:tc>
          <w:tcPr>
            <w:tcW w:w="4819" w:type="dxa"/>
          </w:tcPr>
          <w:p w:rsidR="006B6B42" w:rsidRPr="00212F97" w:rsidRDefault="006B6B42" w:rsidP="00C83DB7">
            <w:pPr>
              <w:spacing w:after="120"/>
            </w:pPr>
          </w:p>
          <w:p w:rsidR="006B6B42" w:rsidRPr="00212F97" w:rsidRDefault="006B6B42" w:rsidP="00C83DB7">
            <w:pPr>
              <w:spacing w:after="120"/>
            </w:pPr>
          </w:p>
          <w:p w:rsidR="006B6B42" w:rsidRPr="00212F97" w:rsidRDefault="006B6B42" w:rsidP="00C83DB7">
            <w:pPr>
              <w:spacing w:after="120"/>
            </w:pPr>
            <w:r w:rsidRPr="00212F97">
              <w:t>_____________________/ [***] /</w:t>
            </w:r>
          </w:p>
          <w:p w:rsidR="006B6B42" w:rsidRPr="00212F97" w:rsidRDefault="006B6B42" w:rsidP="00C83DB7">
            <w:pPr>
              <w:spacing w:after="120"/>
            </w:pPr>
            <w:r w:rsidRPr="00212F97">
              <w:t>М.П.</w:t>
            </w:r>
          </w:p>
          <w:p w:rsidR="006B6B42" w:rsidRPr="00212F97" w:rsidRDefault="006B6B42" w:rsidP="00C83DB7">
            <w:pPr>
              <w:spacing w:after="120"/>
            </w:pPr>
          </w:p>
        </w:tc>
      </w:tr>
      <w:tr w:rsidR="006B6B42" w:rsidRPr="00212F97" w:rsidTr="00C83DB7">
        <w:tc>
          <w:tcPr>
            <w:tcW w:w="4537" w:type="dxa"/>
          </w:tcPr>
          <w:p w:rsidR="006B6B42" w:rsidRPr="00212F97" w:rsidRDefault="006B6B42" w:rsidP="00C83DB7">
            <w:pPr>
              <w:keepNext/>
              <w:keepLines/>
              <w:widowControl w:val="0"/>
              <w:autoSpaceDE w:val="0"/>
              <w:autoSpaceDN w:val="0"/>
              <w:adjustRightInd w:val="0"/>
              <w:spacing w:after="120"/>
              <w:jc w:val="both"/>
              <w:rPr>
                <w:b/>
                <w:bCs/>
              </w:rPr>
            </w:pPr>
            <w:r w:rsidRPr="00212F97">
              <w:rPr>
                <w:b/>
              </w:rPr>
              <w:t>Концессионер</w:t>
            </w:r>
          </w:p>
        </w:tc>
        <w:tc>
          <w:tcPr>
            <w:tcW w:w="4819" w:type="dxa"/>
          </w:tcPr>
          <w:p w:rsidR="006B6B42" w:rsidRPr="00212F97" w:rsidRDefault="006B6B42" w:rsidP="00C83DB7">
            <w:pPr>
              <w:spacing w:after="120"/>
              <w:rPr>
                <w:b/>
              </w:rPr>
            </w:pPr>
          </w:p>
        </w:tc>
      </w:tr>
      <w:tr w:rsidR="006B6B42" w:rsidRPr="00212F97" w:rsidTr="00C83DB7">
        <w:tc>
          <w:tcPr>
            <w:tcW w:w="4537" w:type="dxa"/>
            <w:hideMark/>
          </w:tcPr>
          <w:p w:rsidR="006B6B42" w:rsidRPr="00212F97" w:rsidRDefault="006B6B42" w:rsidP="00C83DB7">
            <w:pPr>
              <w:keepNext/>
              <w:keepLines/>
              <w:widowControl w:val="0"/>
              <w:autoSpaceDE w:val="0"/>
              <w:autoSpaceDN w:val="0"/>
              <w:adjustRightInd w:val="0"/>
              <w:spacing w:after="120"/>
              <w:jc w:val="both"/>
              <w:rPr>
                <w:b/>
              </w:rPr>
            </w:pPr>
            <w:r>
              <w:rPr>
                <w:b/>
              </w:rPr>
              <w:t>Директор</w:t>
            </w:r>
          </w:p>
        </w:tc>
        <w:tc>
          <w:tcPr>
            <w:tcW w:w="4819" w:type="dxa"/>
          </w:tcPr>
          <w:p w:rsidR="006B6B42" w:rsidRPr="00212F97" w:rsidRDefault="006B6B42" w:rsidP="00C83DB7">
            <w:pPr>
              <w:spacing w:after="120"/>
            </w:pPr>
          </w:p>
        </w:tc>
      </w:tr>
      <w:tr w:rsidR="006B6B42" w:rsidRPr="00212F97" w:rsidTr="00C83DB7">
        <w:tc>
          <w:tcPr>
            <w:tcW w:w="4537" w:type="dxa"/>
          </w:tcPr>
          <w:p w:rsidR="006B6B42" w:rsidRPr="00212F97" w:rsidRDefault="006B6B42" w:rsidP="00C83DB7">
            <w:pPr>
              <w:spacing w:after="120"/>
            </w:pPr>
          </w:p>
          <w:p w:rsidR="006B6B42" w:rsidRPr="00212F97" w:rsidRDefault="006B6B42" w:rsidP="00C83DB7">
            <w:pPr>
              <w:spacing w:after="120"/>
            </w:pPr>
          </w:p>
          <w:p w:rsidR="006B6B42" w:rsidRPr="00212F97" w:rsidRDefault="006B6B42" w:rsidP="00C83DB7">
            <w:pPr>
              <w:spacing w:after="120"/>
            </w:pPr>
            <w:r w:rsidRPr="00212F97">
              <w:t xml:space="preserve">_____________________/ </w:t>
            </w:r>
            <w:r w:rsidR="00A45025">
              <w:t xml:space="preserve">О.Е. Михайлов </w:t>
            </w:r>
            <w:bookmarkStart w:id="11" w:name="_GoBack"/>
            <w:bookmarkEnd w:id="11"/>
          </w:p>
          <w:p w:rsidR="006B6B42" w:rsidRPr="00212F97" w:rsidRDefault="006B6B42" w:rsidP="00C83DB7">
            <w:pPr>
              <w:spacing w:after="120"/>
            </w:pPr>
            <w:r w:rsidRPr="00212F97">
              <w:t>М.П.</w:t>
            </w:r>
          </w:p>
          <w:p w:rsidR="006B6B42" w:rsidRPr="00212F97" w:rsidRDefault="006B6B42" w:rsidP="00C83DB7">
            <w:pPr>
              <w:spacing w:after="120"/>
            </w:pPr>
          </w:p>
        </w:tc>
        <w:tc>
          <w:tcPr>
            <w:tcW w:w="4819" w:type="dxa"/>
          </w:tcPr>
          <w:p w:rsidR="006B6B42" w:rsidRPr="00212F97" w:rsidRDefault="006B6B42" w:rsidP="00C83DB7">
            <w:pPr>
              <w:spacing w:after="120"/>
            </w:pPr>
          </w:p>
        </w:tc>
      </w:tr>
    </w:tbl>
    <w:p w:rsidR="003705C9" w:rsidRDefault="003705C9"/>
    <w:sectPr w:rsidR="003705C9" w:rsidSect="006B6B42">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21A7E"/>
    <w:multiLevelType w:val="multilevel"/>
    <w:tmpl w:val="0419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8641A9C"/>
    <w:multiLevelType w:val="hybridMultilevel"/>
    <w:tmpl w:val="704CA1CC"/>
    <w:lvl w:ilvl="0" w:tplc="B082002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E3415C"/>
    <w:multiLevelType w:val="hybridMultilevel"/>
    <w:tmpl w:val="B770DB5E"/>
    <w:lvl w:ilvl="0" w:tplc="2CC01C22">
      <w:start w:val="1"/>
      <w:numFmt w:val="lowerRoman"/>
      <w:lvlText w:val="(%1)"/>
      <w:lvlJc w:val="left"/>
      <w:pPr>
        <w:ind w:left="1080" w:hanging="72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BEB687E"/>
    <w:multiLevelType w:val="multilevel"/>
    <w:tmpl w:val="148A74D0"/>
    <w:lvl w:ilvl="0">
      <w:start w:val="1"/>
      <w:numFmt w:val="decimal"/>
      <w:pStyle w:val="1"/>
      <w:lvlText w:val="%1."/>
      <w:lvlJc w:val="left"/>
      <w:pPr>
        <w:ind w:left="1353" w:hanging="360"/>
      </w:pPr>
      <w:rPr>
        <w:rFonts w:hint="default"/>
      </w:rPr>
    </w:lvl>
    <w:lvl w:ilvl="1">
      <w:start w:val="1"/>
      <w:numFmt w:val="decimal"/>
      <w:pStyle w:val="11"/>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
      <w:lvlText w:val="(%3)"/>
      <w:lvlJc w:val="left"/>
      <w:pPr>
        <w:ind w:left="1497" w:hanging="504"/>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lowerRoman"/>
      <w:pStyle w:val="3"/>
      <w:lvlText w:val="(%4)"/>
      <w:lvlJc w:val="left"/>
      <w:pPr>
        <w:ind w:left="2067" w:hanging="648"/>
      </w:pPr>
      <w:rPr>
        <w:rFonts w:hint="default"/>
        <w:b w:val="0"/>
        <w:i w:val="0"/>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42"/>
    <w:rsid w:val="00035653"/>
    <w:rsid w:val="002D7CB1"/>
    <w:rsid w:val="003705C9"/>
    <w:rsid w:val="003C1AFD"/>
    <w:rsid w:val="005204DA"/>
    <w:rsid w:val="006A6F5E"/>
    <w:rsid w:val="006B6B42"/>
    <w:rsid w:val="00920BDC"/>
    <w:rsid w:val="009A4997"/>
    <w:rsid w:val="00A324B8"/>
    <w:rsid w:val="00A45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6B42"/>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0"/>
    <w:link w:val="10"/>
    <w:uiPriority w:val="9"/>
    <w:qFormat/>
    <w:rsid w:val="006B6B42"/>
    <w:pPr>
      <w:keepNext/>
      <w:numPr>
        <w:numId w:val="3"/>
      </w:numPr>
      <w:spacing w:before="240" w:after="200"/>
      <w:ind w:left="1068"/>
      <w:contextualSpacing w:val="0"/>
      <w:jc w:val="both"/>
      <w:outlineLvl w:val="0"/>
    </w:pPr>
    <w:rPr>
      <w:rFonts w:eastAsia="Calibri"/>
      <w:b/>
      <w:lang w:eastAsia="en-US"/>
    </w:rPr>
  </w:style>
  <w:style w:type="paragraph" w:styleId="3">
    <w:name w:val="heading 3"/>
    <w:basedOn w:val="a"/>
    <w:next w:val="a0"/>
    <w:link w:val="30"/>
    <w:uiPriority w:val="9"/>
    <w:unhideWhenUsed/>
    <w:qFormat/>
    <w:rsid w:val="006B6B42"/>
    <w:pPr>
      <w:numPr>
        <w:ilvl w:val="3"/>
      </w:numPr>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6B6B42"/>
    <w:rPr>
      <w:rFonts w:ascii="Times New Roman" w:eastAsia="Calibri" w:hAnsi="Times New Roman" w:cs="Times New Roman"/>
      <w:b/>
      <w:sz w:val="24"/>
      <w:szCs w:val="24"/>
    </w:rPr>
  </w:style>
  <w:style w:type="character" w:customStyle="1" w:styleId="30">
    <w:name w:val="Заголовок 3 Знак"/>
    <w:basedOn w:val="a2"/>
    <w:link w:val="3"/>
    <w:uiPriority w:val="9"/>
    <w:rsid w:val="006B6B42"/>
    <w:rPr>
      <w:rFonts w:ascii="Times New Roman" w:eastAsia="Calibri" w:hAnsi="Times New Roman" w:cs="Times New Roman"/>
      <w:sz w:val="24"/>
      <w:szCs w:val="24"/>
    </w:rPr>
  </w:style>
  <w:style w:type="paragraph" w:customStyle="1" w:styleId="a">
    <w:name w:val="Третий уровень (a)"/>
    <w:basedOn w:val="11"/>
    <w:qFormat/>
    <w:rsid w:val="006B6B42"/>
    <w:pPr>
      <w:numPr>
        <w:ilvl w:val="2"/>
      </w:numPr>
    </w:pPr>
  </w:style>
  <w:style w:type="paragraph" w:customStyle="1" w:styleId="11">
    <w:name w:val="Второй уровень (1.1.)"/>
    <w:basedOn w:val="1"/>
    <w:rsid w:val="006B6B42"/>
    <w:pPr>
      <w:keepNext w:val="0"/>
      <w:numPr>
        <w:ilvl w:val="1"/>
      </w:numPr>
    </w:pPr>
    <w:rPr>
      <w:b w:val="0"/>
    </w:rPr>
  </w:style>
  <w:style w:type="table" w:styleId="a5">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3"/>
    <w:uiPriority w:val="59"/>
    <w:rsid w:val="006B6B42"/>
    <w:pPr>
      <w:spacing w:after="0" w:line="240" w:lineRule="auto"/>
      <w:ind w:left="2126" w:hanging="992"/>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первый уровень приложения"/>
    <w:basedOn w:val="a0"/>
    <w:qFormat/>
    <w:rsid w:val="006B6B42"/>
    <w:pPr>
      <w:widowControl w:val="0"/>
      <w:autoSpaceDE w:val="0"/>
      <w:autoSpaceDN w:val="0"/>
      <w:adjustRightInd w:val="0"/>
      <w:spacing w:after="240"/>
      <w:jc w:val="both"/>
    </w:pPr>
  </w:style>
  <w:style w:type="paragraph" w:styleId="a1">
    <w:name w:val="List Paragraph"/>
    <w:basedOn w:val="a0"/>
    <w:uiPriority w:val="34"/>
    <w:qFormat/>
    <w:rsid w:val="006B6B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6B42"/>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0"/>
    <w:link w:val="10"/>
    <w:uiPriority w:val="9"/>
    <w:qFormat/>
    <w:rsid w:val="006B6B42"/>
    <w:pPr>
      <w:keepNext/>
      <w:numPr>
        <w:numId w:val="3"/>
      </w:numPr>
      <w:spacing w:before="240" w:after="200"/>
      <w:ind w:left="1068"/>
      <w:contextualSpacing w:val="0"/>
      <w:jc w:val="both"/>
      <w:outlineLvl w:val="0"/>
    </w:pPr>
    <w:rPr>
      <w:rFonts w:eastAsia="Calibri"/>
      <w:b/>
      <w:lang w:eastAsia="en-US"/>
    </w:rPr>
  </w:style>
  <w:style w:type="paragraph" w:styleId="3">
    <w:name w:val="heading 3"/>
    <w:basedOn w:val="a"/>
    <w:next w:val="a0"/>
    <w:link w:val="30"/>
    <w:uiPriority w:val="9"/>
    <w:unhideWhenUsed/>
    <w:qFormat/>
    <w:rsid w:val="006B6B42"/>
    <w:pPr>
      <w:numPr>
        <w:ilvl w:val="3"/>
      </w:numPr>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6B6B42"/>
    <w:rPr>
      <w:rFonts w:ascii="Times New Roman" w:eastAsia="Calibri" w:hAnsi="Times New Roman" w:cs="Times New Roman"/>
      <w:b/>
      <w:sz w:val="24"/>
      <w:szCs w:val="24"/>
    </w:rPr>
  </w:style>
  <w:style w:type="character" w:customStyle="1" w:styleId="30">
    <w:name w:val="Заголовок 3 Знак"/>
    <w:basedOn w:val="a2"/>
    <w:link w:val="3"/>
    <w:uiPriority w:val="9"/>
    <w:rsid w:val="006B6B42"/>
    <w:rPr>
      <w:rFonts w:ascii="Times New Roman" w:eastAsia="Calibri" w:hAnsi="Times New Roman" w:cs="Times New Roman"/>
      <w:sz w:val="24"/>
      <w:szCs w:val="24"/>
    </w:rPr>
  </w:style>
  <w:style w:type="paragraph" w:customStyle="1" w:styleId="a">
    <w:name w:val="Третий уровень (a)"/>
    <w:basedOn w:val="11"/>
    <w:qFormat/>
    <w:rsid w:val="006B6B42"/>
    <w:pPr>
      <w:numPr>
        <w:ilvl w:val="2"/>
      </w:numPr>
    </w:pPr>
  </w:style>
  <w:style w:type="paragraph" w:customStyle="1" w:styleId="11">
    <w:name w:val="Второй уровень (1.1.)"/>
    <w:basedOn w:val="1"/>
    <w:rsid w:val="006B6B42"/>
    <w:pPr>
      <w:keepNext w:val="0"/>
      <w:numPr>
        <w:ilvl w:val="1"/>
      </w:numPr>
    </w:pPr>
    <w:rPr>
      <w:b w:val="0"/>
    </w:rPr>
  </w:style>
  <w:style w:type="table" w:styleId="a5">
    <w:name w:val="Table Grid"/>
    <w:aliases w:val="Таблица НЭО,Формат таблиц для диплома,Леша,table general,Сетка таблицы2,Table,Формат таблиц для диплома1,Леша1,Таблица НЭО2,Формат таблиц для диплома2,Леша2,Таблица НЭО11,Формат таблиц для диплома11,Леша11,Таблица НЭО3,Леша3,Сетка таблицы1"/>
    <w:basedOn w:val="a3"/>
    <w:uiPriority w:val="59"/>
    <w:rsid w:val="006B6B42"/>
    <w:pPr>
      <w:spacing w:after="0" w:line="240" w:lineRule="auto"/>
      <w:ind w:left="2126" w:hanging="992"/>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первый уровень приложения"/>
    <w:basedOn w:val="a0"/>
    <w:qFormat/>
    <w:rsid w:val="006B6B42"/>
    <w:pPr>
      <w:widowControl w:val="0"/>
      <w:autoSpaceDE w:val="0"/>
      <w:autoSpaceDN w:val="0"/>
      <w:adjustRightInd w:val="0"/>
      <w:spacing w:after="240"/>
      <w:jc w:val="both"/>
    </w:pPr>
  </w:style>
  <w:style w:type="paragraph" w:styleId="a1">
    <w:name w:val="List Paragraph"/>
    <w:basedOn w:val="a0"/>
    <w:uiPriority w:val="34"/>
    <w:qFormat/>
    <w:rsid w:val="006B6B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2843</Words>
  <Characters>16208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2020-03-18T05:28:00Z</cp:lastPrinted>
  <dcterms:created xsi:type="dcterms:W3CDTF">2020-04-17T07:20:00Z</dcterms:created>
  <dcterms:modified xsi:type="dcterms:W3CDTF">2020-04-17T07:20:00Z</dcterms:modified>
</cp:coreProperties>
</file>